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B3F" w:rsidRDefault="00066645" w:rsidP="00D73497">
      <w:pPr>
        <w:tabs>
          <w:tab w:val="left" w:pos="4536"/>
        </w:tabs>
        <w:spacing w:after="120"/>
        <w:jc w:val="both"/>
      </w:pPr>
      <w:r>
        <w:t>ZSC.</w:t>
      </w:r>
      <w:r w:rsidR="00747171">
        <w:t>110</w:t>
      </w:r>
      <w:r>
        <w:t>.</w:t>
      </w:r>
      <w:r w:rsidR="00D85169">
        <w:t>1</w:t>
      </w:r>
      <w:r w:rsidR="00E77BB5">
        <w:t>4</w:t>
      </w:r>
      <w:r w:rsidR="00145CFD">
        <w:t>.201</w:t>
      </w:r>
      <w:r w:rsidR="00E208DA">
        <w:t>8</w:t>
      </w:r>
      <w:r w:rsidR="00145CFD">
        <w:tab/>
      </w:r>
      <w:r w:rsidR="00555CEA">
        <w:t xml:space="preserve">        </w:t>
      </w:r>
      <w:r w:rsidR="00747171">
        <w:t xml:space="preserve">     </w:t>
      </w:r>
      <w:r w:rsidR="00956632">
        <w:t xml:space="preserve">    </w:t>
      </w:r>
      <w:r w:rsidR="009C7FC5">
        <w:t>Gliwice,</w:t>
      </w:r>
      <w:r w:rsidR="00555CEA">
        <w:t xml:space="preserve"> </w:t>
      </w:r>
      <w:r w:rsidR="00D73497">
        <w:t>20.</w:t>
      </w:r>
      <w:r w:rsidR="00E208DA">
        <w:t>07</w:t>
      </w:r>
      <w:r w:rsidR="00BD3D6B">
        <w:t>.201</w:t>
      </w:r>
      <w:r w:rsidR="00E208DA">
        <w:t>8</w:t>
      </w:r>
      <w:r w:rsidR="00BD3D6B">
        <w:t xml:space="preserve"> r. </w:t>
      </w:r>
    </w:p>
    <w:p w:rsidR="00A4752D" w:rsidRDefault="00A4752D" w:rsidP="00D73497">
      <w:pPr>
        <w:spacing w:after="120"/>
        <w:jc w:val="both"/>
      </w:pPr>
    </w:p>
    <w:p w:rsidR="00A4752D" w:rsidRPr="003F21E5" w:rsidRDefault="001F0E2F" w:rsidP="00D73497">
      <w:pPr>
        <w:spacing w:after="120"/>
        <w:jc w:val="both"/>
        <w:rPr>
          <w:b/>
        </w:rPr>
      </w:pPr>
      <w:r>
        <w:tab/>
      </w:r>
      <w:r>
        <w:tab/>
      </w:r>
      <w:r>
        <w:tab/>
      </w:r>
      <w:r>
        <w:tab/>
      </w:r>
      <w:r>
        <w:tab/>
      </w:r>
      <w:r w:rsidR="00FE77C3">
        <w:rPr>
          <w:b/>
        </w:rPr>
        <w:t>Szanowni</w:t>
      </w:r>
      <w:r w:rsidRPr="003F21E5">
        <w:rPr>
          <w:b/>
        </w:rPr>
        <w:t xml:space="preserve"> Pa</w:t>
      </w:r>
      <w:r w:rsidR="00FE77C3">
        <w:rPr>
          <w:b/>
        </w:rPr>
        <w:t>ństwo</w:t>
      </w:r>
    </w:p>
    <w:p w:rsidR="00CD576A" w:rsidRDefault="00CD576A" w:rsidP="00E77BB5">
      <w:pPr>
        <w:spacing w:after="120"/>
        <w:ind w:left="3540"/>
      </w:pPr>
      <w:r>
        <w:rPr>
          <w:b/>
        </w:rPr>
        <w:t>Piotr Woźny</w:t>
      </w:r>
      <w:r w:rsidR="00FE77C3">
        <w:rPr>
          <w:b/>
        </w:rPr>
        <w:t xml:space="preserve">, </w:t>
      </w:r>
      <w:r w:rsidRPr="00FE77C3">
        <w:t>Pełnomocnik Prezesa Rady Ministrów do spraw programu „Czyste Powietrze”</w:t>
      </w:r>
    </w:p>
    <w:p w:rsidR="00FE77C3" w:rsidRPr="00FE77C3" w:rsidRDefault="00FE77C3" w:rsidP="00E77BB5">
      <w:pPr>
        <w:spacing w:after="120"/>
        <w:ind w:left="3540"/>
      </w:pPr>
      <w:r w:rsidRPr="00DE5456">
        <w:rPr>
          <w:b/>
        </w:rPr>
        <w:t xml:space="preserve">Wojciech </w:t>
      </w:r>
      <w:proofErr w:type="spellStart"/>
      <w:r w:rsidRPr="00DE5456">
        <w:rPr>
          <w:b/>
        </w:rPr>
        <w:t>Saługa</w:t>
      </w:r>
      <w:proofErr w:type="spellEnd"/>
      <w:r w:rsidRPr="00DE5456">
        <w:rPr>
          <w:b/>
        </w:rPr>
        <w:t xml:space="preserve">, </w:t>
      </w:r>
      <w:r w:rsidRPr="00FE77C3">
        <w:t>Marszałek Województwa Śląskiego</w:t>
      </w:r>
    </w:p>
    <w:p w:rsidR="00DE5456" w:rsidRPr="00DE5456" w:rsidRDefault="00DE5456" w:rsidP="00E77BB5">
      <w:pPr>
        <w:spacing w:after="120"/>
        <w:ind w:left="3540"/>
        <w:rPr>
          <w:b/>
        </w:rPr>
      </w:pPr>
      <w:r w:rsidRPr="00DE5456">
        <w:rPr>
          <w:b/>
        </w:rPr>
        <w:t xml:space="preserve">Jarosław Orliński, </w:t>
      </w:r>
      <w:r w:rsidRPr="00FE77C3">
        <w:t>Dyrektor Departamentu</w:t>
      </w:r>
      <w:r w:rsidRPr="00DE5456">
        <w:rPr>
          <w:b/>
        </w:rPr>
        <w:t xml:space="preserve"> </w:t>
      </w:r>
      <w:r w:rsidRPr="00FE77C3">
        <w:t>Programów Infrastrukturalnych, Ministerstwo Inwestycji i Rozwoju</w:t>
      </w:r>
      <w:r w:rsidRPr="00DE5456">
        <w:rPr>
          <w:b/>
        </w:rPr>
        <w:t>,</w:t>
      </w:r>
    </w:p>
    <w:p w:rsidR="00DE5456" w:rsidRPr="00FE77C3" w:rsidRDefault="00DE5456" w:rsidP="00E77BB5">
      <w:pPr>
        <w:spacing w:after="120"/>
        <w:ind w:left="3540"/>
      </w:pPr>
      <w:r w:rsidRPr="00DE5456">
        <w:rPr>
          <w:b/>
        </w:rPr>
        <w:t xml:space="preserve">Piotr Zygadło, </w:t>
      </w:r>
      <w:r w:rsidRPr="00FE77C3">
        <w:t>Dyrektor Departamentu</w:t>
      </w:r>
      <w:r w:rsidRPr="00DE5456">
        <w:rPr>
          <w:b/>
        </w:rPr>
        <w:t xml:space="preserve"> </w:t>
      </w:r>
      <w:r w:rsidRPr="00FE77C3">
        <w:t>Regionalnych Programów Operacyjnych, Ministerstwo Inwestycji i Rozwoju</w:t>
      </w:r>
    </w:p>
    <w:p w:rsidR="00DE5456" w:rsidRPr="00FE77C3" w:rsidRDefault="00DE5456" w:rsidP="00E77BB5">
      <w:pPr>
        <w:spacing w:after="120"/>
        <w:ind w:left="3540"/>
      </w:pPr>
      <w:r w:rsidRPr="00DE5456">
        <w:rPr>
          <w:b/>
        </w:rPr>
        <w:t xml:space="preserve">Tomasz Bednarek, </w:t>
      </w:r>
      <w:r w:rsidRPr="00FE77C3">
        <w:t>Prezes Zarządu Wojewódzkiego Funduszu Ochrony Środowiska i Gospodarki Wodnej w</w:t>
      </w:r>
      <w:r w:rsidR="00E77BB5">
        <w:t> </w:t>
      </w:r>
      <w:r w:rsidRPr="00FE77C3">
        <w:t>Katowicach</w:t>
      </w:r>
    </w:p>
    <w:p w:rsidR="00CD576A" w:rsidRDefault="00CD576A" w:rsidP="00D73497">
      <w:pPr>
        <w:spacing w:after="120"/>
        <w:ind w:left="3540" w:firstLine="708"/>
        <w:jc w:val="both"/>
        <w:rPr>
          <w:b/>
        </w:rPr>
      </w:pPr>
    </w:p>
    <w:p w:rsidR="001F0E2F" w:rsidRPr="001F0E2F" w:rsidRDefault="00427092" w:rsidP="00D73497">
      <w:pPr>
        <w:spacing w:after="120"/>
        <w:jc w:val="both"/>
      </w:pPr>
      <w:r>
        <w:t>Szanown</w:t>
      </w:r>
      <w:r w:rsidR="00DE5456">
        <w:t>i</w:t>
      </w:r>
      <w:r>
        <w:t xml:space="preserve"> </w:t>
      </w:r>
      <w:r w:rsidR="00DE5456">
        <w:t>Państwo,</w:t>
      </w:r>
    </w:p>
    <w:p w:rsidR="00C84E90" w:rsidRDefault="00F913ED" w:rsidP="00D73497">
      <w:pPr>
        <w:spacing w:after="120"/>
        <w:jc w:val="both"/>
      </w:pPr>
      <w:r>
        <w:t>w</w:t>
      </w:r>
      <w:r w:rsidR="00C84E90">
        <w:t xml:space="preserve"> związku z korespondencją prowadzoną pomiędzy przedstawicielami Ministerstwa Inwestycji i Rozwoju a Zarządem Województwa Śląskiego</w:t>
      </w:r>
      <w:r w:rsidR="00C7303E">
        <w:t>,</w:t>
      </w:r>
      <w:r w:rsidR="00C84E90">
        <w:t xml:space="preserve"> odnośnie uproszczenia zasad aplikowania o dotacje ze środków UE dla projektów z zakresu </w:t>
      </w:r>
      <w:r w:rsidR="00BF19D9">
        <w:t xml:space="preserve">modernizacji energetycznej </w:t>
      </w:r>
      <w:r w:rsidR="00C84E90">
        <w:t xml:space="preserve">komunalnych budynków mieszkalnych, </w:t>
      </w:r>
      <w:r w:rsidR="00E208DA">
        <w:t>Zarząd Związku Gmin i</w:t>
      </w:r>
      <w:r w:rsidR="00FE77C3">
        <w:t> </w:t>
      </w:r>
      <w:r w:rsidR="00E208DA">
        <w:t xml:space="preserve">Powiatów Subregionu Centralnego Województwa Śląskiego </w:t>
      </w:r>
      <w:r w:rsidR="00C84E90">
        <w:t>dokonał kompleksowej analizy zagadnienia</w:t>
      </w:r>
      <w:r w:rsidR="00B27A44">
        <w:t>,</w:t>
      </w:r>
      <w:r w:rsidR="00C16C40">
        <w:t xml:space="preserve"> w </w:t>
      </w:r>
      <w:r w:rsidR="00C84E90">
        <w:t>oparciu o doświadczenia z realizacji Zintegrowan</w:t>
      </w:r>
      <w:r w:rsidR="00C16C40">
        <w:t>ych Inwestycji Terytorialnych w </w:t>
      </w:r>
      <w:r w:rsidR="00C84E90">
        <w:t>Województwie Śląskim.</w:t>
      </w:r>
    </w:p>
    <w:p w:rsidR="00C84E90" w:rsidRPr="00C16C40" w:rsidRDefault="00B31369" w:rsidP="00D73497">
      <w:pPr>
        <w:pStyle w:val="Akapitzlist"/>
        <w:numPr>
          <w:ilvl w:val="0"/>
          <w:numId w:val="17"/>
        </w:numPr>
        <w:spacing w:after="120"/>
        <w:jc w:val="both"/>
        <w:rPr>
          <w:b/>
        </w:rPr>
      </w:pPr>
      <w:r>
        <w:rPr>
          <w:b/>
        </w:rPr>
        <w:t xml:space="preserve">Proponowana zmiana w zasadach naborów ZIT w ramach </w:t>
      </w:r>
      <w:r w:rsidR="00C16C40">
        <w:rPr>
          <w:b/>
        </w:rPr>
        <w:t>RPO WSL 2014-2020</w:t>
      </w:r>
    </w:p>
    <w:p w:rsidR="00D33F3D" w:rsidRDefault="007174C9" w:rsidP="00D73497">
      <w:pPr>
        <w:spacing w:after="120"/>
        <w:jc w:val="both"/>
      </w:pPr>
      <w:r>
        <w:t>S</w:t>
      </w:r>
      <w:r w:rsidRPr="007174C9">
        <w:t>kala problemu, z którym zmagają się samorządy lokalne w kwestii wieloletnich zaniedbań i złego stanu technicznego budynków komunalnych,</w:t>
      </w:r>
      <w:r w:rsidR="00B27A44">
        <w:t xml:space="preserve"> a także</w:t>
      </w:r>
      <w:r w:rsidRPr="007174C9">
        <w:t xml:space="preserve"> przestarzałych i nie ekologicznych źródeł ciepła</w:t>
      </w:r>
      <w:r w:rsidR="00B27A44">
        <w:t xml:space="preserve"> oraz </w:t>
      </w:r>
      <w:r w:rsidRPr="007174C9">
        <w:t xml:space="preserve">ubóstwa energetycznego mieszkańców jest tak duża, że każda inicjatywa służąca ułatwieniu w realizacji podejmowanych działań jest cenna. </w:t>
      </w:r>
      <w:r w:rsidR="00C16C40" w:rsidRPr="00B31369">
        <w:rPr>
          <w:b/>
        </w:rPr>
        <w:t>Zarząd Związku popiera inicjatywę Ministerstwa</w:t>
      </w:r>
      <w:r w:rsidR="00BF19D9">
        <w:rPr>
          <w:b/>
        </w:rPr>
        <w:t xml:space="preserve"> </w:t>
      </w:r>
      <w:r w:rsidR="00BF19D9" w:rsidRPr="00BF19D9">
        <w:t>aby</w:t>
      </w:r>
      <w:r w:rsidR="00BF19D9">
        <w:rPr>
          <w:b/>
        </w:rPr>
        <w:t xml:space="preserve"> </w:t>
      </w:r>
      <w:r w:rsidR="00BF19D9" w:rsidRPr="00BF19D9">
        <w:t>uprościć warunki formaln</w:t>
      </w:r>
      <w:r w:rsidR="00BF19D9" w:rsidRPr="004D0F07">
        <w:t>e</w:t>
      </w:r>
      <w:r w:rsidR="00BF19D9">
        <w:rPr>
          <w:b/>
        </w:rPr>
        <w:t xml:space="preserve"> </w:t>
      </w:r>
      <w:r w:rsidR="00BF19D9" w:rsidRPr="00BF19D9">
        <w:t xml:space="preserve">stawiane projektom zgłaszanym do realizacji w ramach </w:t>
      </w:r>
      <w:r w:rsidR="00BF19D9">
        <w:t xml:space="preserve">naborów </w:t>
      </w:r>
      <w:r w:rsidR="00BF19D9" w:rsidRPr="00BF19D9">
        <w:t>ZIT</w:t>
      </w:r>
      <w:r w:rsidR="00BF19D9">
        <w:rPr>
          <w:b/>
        </w:rPr>
        <w:t xml:space="preserve"> </w:t>
      </w:r>
      <w:r w:rsidR="00BF19D9">
        <w:t>w RPO WSL 2014</w:t>
      </w:r>
      <w:r w:rsidR="00BF19D9">
        <w:rPr>
          <w:b/>
        </w:rPr>
        <w:t>-</w:t>
      </w:r>
      <w:r w:rsidR="00BF19D9" w:rsidRPr="00BF19D9">
        <w:t>2020</w:t>
      </w:r>
      <w:r w:rsidR="00E13A39">
        <w:t xml:space="preserve">. </w:t>
      </w:r>
      <w:r w:rsidR="00D33F3D">
        <w:t xml:space="preserve">Prawdopodobnie jednak </w:t>
      </w:r>
      <w:r w:rsidR="00F913ED">
        <w:t>wprowadzenie</w:t>
      </w:r>
      <w:r w:rsidR="001A7183">
        <w:t xml:space="preserve"> </w:t>
      </w:r>
      <w:r w:rsidR="00F913ED">
        <w:t xml:space="preserve">na tym etapie </w:t>
      </w:r>
      <w:r w:rsidR="001A7183">
        <w:t>zmian w</w:t>
      </w:r>
      <w:r w:rsidR="00927815">
        <w:t> </w:t>
      </w:r>
      <w:r w:rsidR="001A7183">
        <w:t xml:space="preserve">procedurach aplikacyjnych </w:t>
      </w:r>
      <w:r w:rsidR="001A7183" w:rsidRPr="00C7303E">
        <w:t xml:space="preserve">obowiązujących w </w:t>
      </w:r>
      <w:r w:rsidR="00C16C40">
        <w:t>RPO WSL 2014-2020</w:t>
      </w:r>
      <w:r w:rsidR="0081733A" w:rsidRPr="00C7303E">
        <w:t xml:space="preserve"> </w:t>
      </w:r>
      <w:r w:rsidR="00C16C40">
        <w:t xml:space="preserve">poprzez wykreślenie zawężeń dotyczących komunalnego zasobu mieszkaniowego </w:t>
      </w:r>
      <w:r w:rsidR="001A7183" w:rsidRPr="00C7303E">
        <w:t>będzie</w:t>
      </w:r>
      <w:r w:rsidR="001A7183">
        <w:t xml:space="preserve"> miało</w:t>
      </w:r>
      <w:r w:rsidR="00C16C40">
        <w:t xml:space="preserve"> </w:t>
      </w:r>
      <w:r w:rsidR="00C16C40">
        <w:lastRenderedPageBreak/>
        <w:t xml:space="preserve">tylko </w:t>
      </w:r>
      <w:r w:rsidR="00D33F3D">
        <w:t>formalne</w:t>
      </w:r>
      <w:r w:rsidR="00C16C40">
        <w:t xml:space="preserve"> znaczenie</w:t>
      </w:r>
      <w:r w:rsidR="001A7183">
        <w:t xml:space="preserve"> dla tych projektów, które już zostały zaplanowane przez </w:t>
      </w:r>
      <w:r w:rsidR="00D33F3D">
        <w:t>beneficjent</w:t>
      </w:r>
      <w:r w:rsidR="00C16C40">
        <w:t>ów i są w trakcie przygotowania</w:t>
      </w:r>
      <w:r w:rsidR="004665AA">
        <w:t xml:space="preserve">. Zmiana </w:t>
      </w:r>
      <w:r w:rsidR="00D33F3D">
        <w:t>nie zwiększy efektu ekologicznego</w:t>
      </w:r>
      <w:r w:rsidR="00C16C40">
        <w:t xml:space="preserve"> w postaci dodatkowych działań</w:t>
      </w:r>
      <w:r w:rsidR="00BF19D9">
        <w:t>,</w:t>
      </w:r>
      <w:r w:rsidR="00C16C40">
        <w:t xml:space="preserve"> gdyż</w:t>
      </w:r>
      <w:r w:rsidR="00D33F3D">
        <w:t xml:space="preserve"> pula dostępnych środków pozostanie bez zmian.</w:t>
      </w:r>
    </w:p>
    <w:p w:rsidR="00C16C40" w:rsidRDefault="00C16C40" w:rsidP="00D73497">
      <w:pPr>
        <w:pStyle w:val="Akapitzlist"/>
        <w:numPr>
          <w:ilvl w:val="0"/>
          <w:numId w:val="17"/>
        </w:numPr>
        <w:spacing w:after="120"/>
        <w:jc w:val="both"/>
        <w:rPr>
          <w:b/>
        </w:rPr>
      </w:pPr>
      <w:r w:rsidRPr="00C16C40">
        <w:rPr>
          <w:b/>
        </w:rPr>
        <w:t>Poziom realizacji projektów ZIT</w:t>
      </w:r>
      <w:r w:rsidR="003C1BDA">
        <w:rPr>
          <w:b/>
        </w:rPr>
        <w:t xml:space="preserve"> w Województwie Śląskim</w:t>
      </w:r>
    </w:p>
    <w:tbl>
      <w:tblPr>
        <w:tblStyle w:val="Siatkatabelijasna"/>
        <w:tblW w:w="749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73"/>
        <w:gridCol w:w="2818"/>
      </w:tblGrid>
      <w:tr w:rsidR="003C1BDA" w:rsidRPr="00E13A39" w:rsidTr="00D046F3">
        <w:trPr>
          <w:trHeight w:val="278"/>
          <w:jc w:val="center"/>
        </w:trPr>
        <w:tc>
          <w:tcPr>
            <w:tcW w:w="4673" w:type="dxa"/>
            <w:shd w:val="clear" w:color="auto" w:fill="D9D9D9" w:themeFill="background1" w:themeFillShade="D9"/>
            <w:vAlign w:val="center"/>
            <w:hideMark/>
          </w:tcPr>
          <w:p w:rsidR="003C1BDA" w:rsidRPr="00E13A39" w:rsidRDefault="003C1BDA" w:rsidP="00D73497">
            <w:pPr>
              <w:spacing w:after="120" w:line="276" w:lineRule="auto"/>
              <w:jc w:val="both"/>
              <w:rPr>
                <w:bCs/>
                <w:sz w:val="18"/>
              </w:rPr>
            </w:pPr>
            <w:r w:rsidRPr="00E13A39">
              <w:rPr>
                <w:bCs/>
                <w:sz w:val="18"/>
              </w:rPr>
              <w:t xml:space="preserve">Całkowita alokacja ZIT na </w:t>
            </w:r>
            <w:r w:rsidRPr="00E13A39">
              <w:rPr>
                <w:iCs/>
                <w:sz w:val="18"/>
              </w:rPr>
              <w:t>PI</w:t>
            </w:r>
            <w:r w:rsidRPr="00E13A39">
              <w:rPr>
                <w:sz w:val="18"/>
              </w:rPr>
              <w:t xml:space="preserve"> 4c na lata 2014-2020</w:t>
            </w:r>
          </w:p>
        </w:tc>
        <w:tc>
          <w:tcPr>
            <w:tcW w:w="2818" w:type="dxa"/>
            <w:shd w:val="clear" w:color="auto" w:fill="FFFFFF" w:themeFill="background1"/>
            <w:vAlign w:val="center"/>
            <w:hideMark/>
          </w:tcPr>
          <w:p w:rsidR="003C1BDA" w:rsidRPr="00E13A39" w:rsidRDefault="003C1BDA" w:rsidP="00D046F3">
            <w:pPr>
              <w:spacing w:after="120" w:line="276" w:lineRule="auto"/>
              <w:jc w:val="right"/>
              <w:rPr>
                <w:b/>
                <w:bCs/>
                <w:sz w:val="18"/>
              </w:rPr>
            </w:pPr>
            <w:r w:rsidRPr="00E13A39">
              <w:rPr>
                <w:sz w:val="18"/>
              </w:rPr>
              <w:t>493 146 968,00 zł</w:t>
            </w:r>
          </w:p>
        </w:tc>
      </w:tr>
      <w:tr w:rsidR="003C1BDA" w:rsidRPr="00E13A39" w:rsidTr="00D046F3">
        <w:trPr>
          <w:trHeight w:val="403"/>
          <w:jc w:val="center"/>
        </w:trPr>
        <w:tc>
          <w:tcPr>
            <w:tcW w:w="4673" w:type="dxa"/>
            <w:shd w:val="clear" w:color="auto" w:fill="D9D9D9" w:themeFill="background1" w:themeFillShade="D9"/>
            <w:noWrap/>
            <w:vAlign w:val="center"/>
          </w:tcPr>
          <w:p w:rsidR="003C1BDA" w:rsidRPr="00E13A39" w:rsidRDefault="003C1BDA" w:rsidP="00D73497">
            <w:pPr>
              <w:spacing w:after="120" w:line="276" w:lineRule="auto"/>
              <w:jc w:val="both"/>
              <w:rPr>
                <w:sz w:val="18"/>
              </w:rPr>
            </w:pPr>
            <w:r w:rsidRPr="00E13A39">
              <w:rPr>
                <w:bCs/>
                <w:sz w:val="18"/>
              </w:rPr>
              <w:t>Wartość dotacji dla projektów wybranych do dofinansowania</w:t>
            </w:r>
          </w:p>
        </w:tc>
        <w:tc>
          <w:tcPr>
            <w:tcW w:w="2818" w:type="dxa"/>
            <w:shd w:val="clear" w:color="auto" w:fill="FFFFFF" w:themeFill="background1"/>
            <w:noWrap/>
            <w:vAlign w:val="center"/>
          </w:tcPr>
          <w:p w:rsidR="003C1BDA" w:rsidRPr="00E13A39" w:rsidRDefault="003C1BDA" w:rsidP="00D046F3">
            <w:pPr>
              <w:spacing w:after="120" w:line="276" w:lineRule="auto"/>
              <w:jc w:val="right"/>
              <w:rPr>
                <w:sz w:val="18"/>
              </w:rPr>
            </w:pPr>
            <w:r w:rsidRPr="00E13A39">
              <w:rPr>
                <w:sz w:val="18"/>
              </w:rPr>
              <w:t>354 629 153,20 zł</w:t>
            </w:r>
          </w:p>
        </w:tc>
      </w:tr>
      <w:tr w:rsidR="003C1BDA" w:rsidRPr="00E13A39" w:rsidTr="00D046F3">
        <w:trPr>
          <w:trHeight w:val="403"/>
          <w:jc w:val="center"/>
        </w:trPr>
        <w:tc>
          <w:tcPr>
            <w:tcW w:w="4673" w:type="dxa"/>
            <w:shd w:val="clear" w:color="auto" w:fill="D9D9D9" w:themeFill="background1" w:themeFillShade="D9"/>
            <w:noWrap/>
            <w:vAlign w:val="center"/>
          </w:tcPr>
          <w:p w:rsidR="003C1BDA" w:rsidRPr="00E13A39" w:rsidRDefault="003C1BDA" w:rsidP="00D73497">
            <w:pPr>
              <w:spacing w:after="120" w:line="276" w:lineRule="auto"/>
              <w:jc w:val="both"/>
              <w:rPr>
                <w:sz w:val="18"/>
              </w:rPr>
            </w:pPr>
            <w:r w:rsidRPr="00E13A39">
              <w:rPr>
                <w:bCs/>
                <w:sz w:val="18"/>
              </w:rPr>
              <w:t>Wartość projektów</w:t>
            </w:r>
            <w:r w:rsidR="008E6367">
              <w:rPr>
                <w:bCs/>
                <w:sz w:val="18"/>
              </w:rPr>
              <w:t xml:space="preserve"> wybranych, dla których zabrakło alokacji w konkursie (lista rezerwowa)</w:t>
            </w:r>
          </w:p>
        </w:tc>
        <w:tc>
          <w:tcPr>
            <w:tcW w:w="2818" w:type="dxa"/>
            <w:shd w:val="clear" w:color="auto" w:fill="FFFFFF" w:themeFill="background1"/>
            <w:noWrap/>
            <w:vAlign w:val="center"/>
          </w:tcPr>
          <w:p w:rsidR="003C1BDA" w:rsidRPr="00E13A39" w:rsidRDefault="003C1BDA" w:rsidP="00D046F3">
            <w:pPr>
              <w:spacing w:after="120" w:line="276" w:lineRule="auto"/>
              <w:jc w:val="right"/>
              <w:rPr>
                <w:sz w:val="18"/>
              </w:rPr>
            </w:pPr>
            <w:r w:rsidRPr="00E13A39">
              <w:rPr>
                <w:sz w:val="18"/>
              </w:rPr>
              <w:t>85 305 417,01 zł</w:t>
            </w:r>
          </w:p>
        </w:tc>
      </w:tr>
      <w:tr w:rsidR="003C1BDA" w:rsidRPr="00E13A39" w:rsidTr="00D046F3">
        <w:trPr>
          <w:trHeight w:val="403"/>
          <w:jc w:val="center"/>
        </w:trPr>
        <w:tc>
          <w:tcPr>
            <w:tcW w:w="4673" w:type="dxa"/>
            <w:shd w:val="clear" w:color="auto" w:fill="D9D9D9" w:themeFill="background1" w:themeFillShade="D9"/>
            <w:noWrap/>
            <w:vAlign w:val="center"/>
          </w:tcPr>
          <w:p w:rsidR="003C1BDA" w:rsidRPr="00E13A39" w:rsidRDefault="003C1BDA" w:rsidP="00D73497">
            <w:pPr>
              <w:spacing w:after="120" w:line="276" w:lineRule="auto"/>
              <w:jc w:val="both"/>
              <w:rPr>
                <w:sz w:val="18"/>
              </w:rPr>
            </w:pPr>
            <w:r w:rsidRPr="00E13A39">
              <w:rPr>
                <w:bCs/>
                <w:sz w:val="18"/>
              </w:rPr>
              <w:t>Alokacja na kolejny nabór w 2018 r. (w toku)</w:t>
            </w:r>
          </w:p>
        </w:tc>
        <w:tc>
          <w:tcPr>
            <w:tcW w:w="2818" w:type="dxa"/>
            <w:shd w:val="clear" w:color="auto" w:fill="FFFFFF" w:themeFill="background1"/>
            <w:noWrap/>
            <w:vAlign w:val="center"/>
          </w:tcPr>
          <w:p w:rsidR="003C1BDA" w:rsidRPr="00E13A39" w:rsidRDefault="003C1BDA" w:rsidP="00D046F3">
            <w:pPr>
              <w:spacing w:after="120" w:line="276" w:lineRule="auto"/>
              <w:jc w:val="right"/>
              <w:rPr>
                <w:sz w:val="18"/>
              </w:rPr>
            </w:pPr>
            <w:r w:rsidRPr="00E13A39">
              <w:rPr>
                <w:sz w:val="18"/>
              </w:rPr>
              <w:t>61 004 400,00 zł</w:t>
            </w:r>
          </w:p>
        </w:tc>
      </w:tr>
      <w:tr w:rsidR="003C1BDA" w:rsidRPr="00E13A39" w:rsidTr="00D046F3">
        <w:trPr>
          <w:trHeight w:val="403"/>
          <w:jc w:val="center"/>
        </w:trPr>
        <w:tc>
          <w:tcPr>
            <w:tcW w:w="4673" w:type="dxa"/>
            <w:shd w:val="clear" w:color="auto" w:fill="D9D9D9" w:themeFill="background1" w:themeFillShade="D9"/>
            <w:noWrap/>
            <w:vAlign w:val="center"/>
          </w:tcPr>
          <w:p w:rsidR="003C1BDA" w:rsidRPr="00E13A39" w:rsidRDefault="003C1BDA" w:rsidP="00D73497">
            <w:pPr>
              <w:spacing w:after="120" w:line="276" w:lineRule="auto"/>
              <w:jc w:val="both"/>
              <w:rPr>
                <w:sz w:val="18"/>
              </w:rPr>
            </w:pPr>
            <w:r w:rsidRPr="00E13A39">
              <w:rPr>
                <w:bCs/>
                <w:sz w:val="18"/>
              </w:rPr>
              <w:t>Wartość dofinansowania zidentyfikowanych projektów ZIT gotowych do złożenia w 2018 roku</w:t>
            </w:r>
          </w:p>
        </w:tc>
        <w:tc>
          <w:tcPr>
            <w:tcW w:w="2818" w:type="dxa"/>
            <w:shd w:val="clear" w:color="auto" w:fill="FFFFFF" w:themeFill="background1"/>
            <w:noWrap/>
            <w:vAlign w:val="center"/>
          </w:tcPr>
          <w:p w:rsidR="003C1BDA" w:rsidRPr="00E13A39" w:rsidRDefault="003C1BDA" w:rsidP="00D046F3">
            <w:pPr>
              <w:spacing w:after="120" w:line="276" w:lineRule="auto"/>
              <w:jc w:val="right"/>
              <w:rPr>
                <w:sz w:val="18"/>
              </w:rPr>
            </w:pPr>
            <w:r w:rsidRPr="00E13A39">
              <w:rPr>
                <w:sz w:val="18"/>
              </w:rPr>
              <w:t>132 977 667,72 zł</w:t>
            </w:r>
          </w:p>
        </w:tc>
      </w:tr>
    </w:tbl>
    <w:p w:rsidR="0024527B" w:rsidRDefault="00F913ED" w:rsidP="00D73497">
      <w:pPr>
        <w:spacing w:before="120" w:after="120"/>
        <w:jc w:val="both"/>
      </w:pPr>
      <w:r>
        <w:t>Można przyjąć zatem, że w</w:t>
      </w:r>
      <w:r w:rsidR="00A35714">
        <w:t xml:space="preserve"> przypadku pozytywnej oceny wniosków o</w:t>
      </w:r>
      <w:r w:rsidR="00D33F3D">
        <w:t> </w:t>
      </w:r>
      <w:r w:rsidR="00A35714">
        <w:t xml:space="preserve">dofinansowanie </w:t>
      </w:r>
      <w:r w:rsidR="00F651D4">
        <w:t xml:space="preserve">złożonych w </w:t>
      </w:r>
      <w:r w:rsidR="00A2107E">
        <w:t>obecnie trwającym naborze</w:t>
      </w:r>
      <w:r w:rsidR="00D33F3D">
        <w:t>,</w:t>
      </w:r>
      <w:r w:rsidR="00F651D4">
        <w:t xml:space="preserve"> </w:t>
      </w:r>
      <w:r w:rsidR="00A35714">
        <w:t xml:space="preserve">możliwe </w:t>
      </w:r>
      <w:r>
        <w:t xml:space="preserve">będzie </w:t>
      </w:r>
      <w:r w:rsidR="00A35714">
        <w:t xml:space="preserve">zakontraktowanie całości alokacji ZIT Subregionu Centralnego Województwa </w:t>
      </w:r>
      <w:r w:rsidR="00CA46E3">
        <w:t>Ś</w:t>
      </w:r>
      <w:r w:rsidR="00A35714">
        <w:t>ląskiego</w:t>
      </w:r>
      <w:r>
        <w:t>,</w:t>
      </w:r>
      <w:r w:rsidR="00A35714">
        <w:t xml:space="preserve"> przeznaczonej na projekty z</w:t>
      </w:r>
      <w:r w:rsidR="00F259DF">
        <w:t> </w:t>
      </w:r>
      <w:r w:rsidR="00A35714">
        <w:t xml:space="preserve">zakresu efektywności energetycznej. </w:t>
      </w:r>
      <w:r w:rsidR="0024527B">
        <w:t xml:space="preserve">Tymczasem Związek ZIT przeprowadził również identyfikację projektów rezerwowych, </w:t>
      </w:r>
      <w:r w:rsidR="00A2107E">
        <w:t>których</w:t>
      </w:r>
      <w:r w:rsidR="0024527B">
        <w:t xml:space="preserve"> łączna wartość potencjalnego dofinansowania wynosi 168 903 975 zł.</w:t>
      </w:r>
      <w:r w:rsidR="00B27A44">
        <w:t xml:space="preserve"> Są to w przeważającej części projekty dotyczące modernizacji energetycznej </w:t>
      </w:r>
      <w:r w:rsidR="00B27A44" w:rsidRPr="00D33F3D">
        <w:rPr>
          <w:u w:val="single"/>
        </w:rPr>
        <w:t>budynków użyteczności publicznej</w:t>
      </w:r>
      <w:r w:rsidR="009376DC">
        <w:rPr>
          <w:u w:val="single"/>
        </w:rPr>
        <w:t>.</w:t>
      </w:r>
    </w:p>
    <w:p w:rsidR="00B27A44" w:rsidRDefault="0024527B" w:rsidP="00D73497">
      <w:pPr>
        <w:spacing w:after="120"/>
        <w:jc w:val="both"/>
      </w:pPr>
      <w:r>
        <w:t>Dodatkowo</w:t>
      </w:r>
      <w:r w:rsidR="00927815">
        <w:t>,</w:t>
      </w:r>
      <w:r w:rsidR="00F651D4">
        <w:t xml:space="preserve"> jak deklarowali członkowie Związku Gmin i Powiatów Subregionu Centralnego Województwa Śląskiego w</w:t>
      </w:r>
      <w:r w:rsidR="00927815">
        <w:t> </w:t>
      </w:r>
      <w:r w:rsidR="00F651D4">
        <w:t xml:space="preserve">ankietach, których wyniki przekazaliśmy </w:t>
      </w:r>
      <w:proofErr w:type="spellStart"/>
      <w:r w:rsidR="00F913ED">
        <w:t>MIiR</w:t>
      </w:r>
      <w:proofErr w:type="spellEnd"/>
      <w:r w:rsidR="00F913ED">
        <w:t xml:space="preserve"> </w:t>
      </w:r>
      <w:r w:rsidR="00F651D4">
        <w:t>w</w:t>
      </w:r>
      <w:r w:rsidR="00F259DF">
        <w:t> </w:t>
      </w:r>
      <w:r w:rsidR="00F651D4">
        <w:t>czerwcu br</w:t>
      </w:r>
      <w:r w:rsidR="001A6B77">
        <w:t>.</w:t>
      </w:r>
      <w:r w:rsidR="00F913ED">
        <w:t>,</w:t>
      </w:r>
      <w:r w:rsidR="001A6B77">
        <w:t xml:space="preserve"> </w:t>
      </w:r>
      <w:r w:rsidRPr="00D33F3D">
        <w:rPr>
          <w:u w:val="single"/>
        </w:rPr>
        <w:t>w komunalnym budownictwie mieszkaniowym</w:t>
      </w:r>
      <w:r>
        <w:t xml:space="preserve"> </w:t>
      </w:r>
      <w:r w:rsidR="001A6B77">
        <w:t>t</w:t>
      </w:r>
      <w:r w:rsidR="00F651D4">
        <w:t>ermomodernizacji wymaga jeszcze co najmniej 3</w:t>
      </w:r>
      <w:r w:rsidR="003C0EB2">
        <w:t xml:space="preserve"> </w:t>
      </w:r>
      <w:r w:rsidR="00F651D4">
        <w:t>360 komunalnych budynków wielorodzinnych, a co najmniej 3</w:t>
      </w:r>
      <w:r w:rsidR="003C0EB2">
        <w:t xml:space="preserve"> </w:t>
      </w:r>
      <w:r w:rsidR="00F651D4">
        <w:t>564 budynki</w:t>
      </w:r>
      <w:r w:rsidR="001A6B77">
        <w:t xml:space="preserve"> wymagają wymiany źródeł c</w:t>
      </w:r>
      <w:r w:rsidR="00927815">
        <w:t xml:space="preserve">iepła. </w:t>
      </w:r>
    </w:p>
    <w:tbl>
      <w:tblPr>
        <w:tblStyle w:val="Tabela-Siatka"/>
        <w:tblW w:w="0" w:type="auto"/>
        <w:tblLook w:val="04A0" w:firstRow="1" w:lastRow="0" w:firstColumn="1" w:lastColumn="0" w:noHBand="0" w:noVBand="1"/>
      </w:tblPr>
      <w:tblGrid>
        <w:gridCol w:w="7643"/>
      </w:tblGrid>
      <w:tr w:rsidR="004D0F07" w:rsidTr="004D0F07">
        <w:tc>
          <w:tcPr>
            <w:tcW w:w="7643" w:type="dxa"/>
            <w:vAlign w:val="center"/>
          </w:tcPr>
          <w:p w:rsidR="004D0F07" w:rsidRDefault="004D0F07" w:rsidP="00D73497">
            <w:pPr>
              <w:spacing w:before="120" w:after="120" w:line="276" w:lineRule="auto"/>
              <w:jc w:val="both"/>
            </w:pPr>
            <w:r>
              <w:t xml:space="preserve">Zatem dla realizacji przygotowanych projektów potrzeba </w:t>
            </w:r>
            <w:r w:rsidRPr="004D0F07">
              <w:rPr>
                <w:b/>
                <w:u w:val="single"/>
              </w:rPr>
              <w:t>co najmniej</w:t>
            </w:r>
            <w:r>
              <w:t xml:space="preserve"> podwojenia dostępnej dotychczas alokacji ZIT, przeznaczonej na Priorytet Inwestycyjny 4c.</w:t>
            </w:r>
          </w:p>
        </w:tc>
      </w:tr>
    </w:tbl>
    <w:p w:rsidR="00B86811" w:rsidRDefault="00A2107E" w:rsidP="00D73497">
      <w:pPr>
        <w:pStyle w:val="Akapitzlist"/>
        <w:numPr>
          <w:ilvl w:val="0"/>
          <w:numId w:val="17"/>
        </w:numPr>
        <w:spacing w:before="120" w:after="120"/>
        <w:ind w:left="357" w:hanging="357"/>
        <w:jc w:val="both"/>
        <w:rPr>
          <w:b/>
        </w:rPr>
      </w:pPr>
      <w:r>
        <w:rPr>
          <w:b/>
        </w:rPr>
        <w:t>Realizacja</w:t>
      </w:r>
      <w:r w:rsidR="00C16C40" w:rsidRPr="00C16C40">
        <w:rPr>
          <w:b/>
        </w:rPr>
        <w:t xml:space="preserve"> projektu komplementarnego do ZIT przez WFOŚ Katowice</w:t>
      </w:r>
    </w:p>
    <w:p w:rsidR="00B86811" w:rsidRDefault="004665AA" w:rsidP="00D73497">
      <w:pPr>
        <w:spacing w:after="120"/>
        <w:jc w:val="both"/>
      </w:pPr>
      <w:r>
        <w:t>Oprócz podstawowego zakresu działań realizowanych w ramach ZIT Województwa Śląskiego, finansowanych z RPO WSL 2014-202</w:t>
      </w:r>
      <w:r w:rsidR="00165085">
        <w:t>0</w:t>
      </w:r>
      <w:r>
        <w:t xml:space="preserve">, na etapie programowania zidentyfikowane zostały również dwa duże projekty komplementarne, przeznaczone do finansowania z Programu Operacyjnego Infrastruktura i Środowisko 2014-2020. Jednym z nich, jest </w:t>
      </w:r>
      <w:r w:rsidR="00B86811">
        <w:t>„Program kompleksowej likwidacji niskiej emisji na terenie konurbacji śląsko-dąbrowskiej”</w:t>
      </w:r>
      <w:r w:rsidR="00B27A44">
        <w:t xml:space="preserve"> (nazwa funkcjonująca przed powołaniem Związku Metropolitalnego)</w:t>
      </w:r>
      <w:r>
        <w:t xml:space="preserve">, dla którego Instytucją Wdrażającą </w:t>
      </w:r>
      <w:r w:rsidR="00B86811">
        <w:t>jest Wojewódzki Fundusz Ochrony Ś</w:t>
      </w:r>
      <w:r w:rsidR="00A2107E">
        <w:t>rodowiska i Gospodarki Wodnej w </w:t>
      </w:r>
      <w:r w:rsidR="00B86811">
        <w:t xml:space="preserve">Katowicach. </w:t>
      </w:r>
    </w:p>
    <w:p w:rsidR="00C7303E" w:rsidRDefault="00B86811" w:rsidP="00D73497">
      <w:pPr>
        <w:spacing w:after="120"/>
        <w:jc w:val="both"/>
      </w:pPr>
      <w:r>
        <w:t>P</w:t>
      </w:r>
      <w:r w:rsidR="0065575F">
        <w:t>omimo alokowania w ramach tego p</w:t>
      </w:r>
      <w:r>
        <w:t>rogramu znaczącej kwoty środków – ponad 950</w:t>
      </w:r>
      <w:r w:rsidR="008C7BCD">
        <w:t> </w:t>
      </w:r>
      <w:r>
        <w:t xml:space="preserve">mln zł – dotychczasowy poziom ich wykorzystania </w:t>
      </w:r>
      <w:r w:rsidR="005D0900">
        <w:t>to 40% alokacji</w:t>
      </w:r>
      <w:r w:rsidR="00CA6306">
        <w:t xml:space="preserve"> (wartość dofinansowania w projektach wybranych). Szczegółowo obrazuje do poniższe zestawienie:</w:t>
      </w:r>
    </w:p>
    <w:tbl>
      <w:tblPr>
        <w:tblW w:w="7503" w:type="dxa"/>
        <w:tblCellMar>
          <w:left w:w="70" w:type="dxa"/>
          <w:right w:w="70" w:type="dxa"/>
        </w:tblCellMar>
        <w:tblLook w:val="04A0" w:firstRow="1" w:lastRow="0" w:firstColumn="1" w:lastColumn="0" w:noHBand="0" w:noVBand="1"/>
      </w:tblPr>
      <w:tblGrid>
        <w:gridCol w:w="469"/>
        <w:gridCol w:w="1222"/>
        <w:gridCol w:w="1276"/>
        <w:gridCol w:w="1276"/>
        <w:gridCol w:w="1134"/>
        <w:gridCol w:w="992"/>
        <w:gridCol w:w="1134"/>
      </w:tblGrid>
      <w:tr w:rsidR="00E13A39" w:rsidRPr="00E13A39" w:rsidTr="00D73497">
        <w:trPr>
          <w:trHeight w:val="300"/>
        </w:trPr>
        <w:tc>
          <w:tcPr>
            <w:tcW w:w="469" w:type="dxa"/>
            <w:vMerge w:val="restart"/>
            <w:tcBorders>
              <w:top w:val="single" w:sz="8" w:space="0" w:color="auto"/>
              <w:left w:val="single" w:sz="8" w:space="0" w:color="auto"/>
              <w:bottom w:val="nil"/>
              <w:right w:val="single" w:sz="4" w:space="0" w:color="auto"/>
            </w:tcBorders>
            <w:shd w:val="clear" w:color="000000" w:fill="D9D9D9"/>
            <w:vAlign w:val="center"/>
            <w:hideMark/>
          </w:tcPr>
          <w:p w:rsidR="00E13A39" w:rsidRPr="00E13A39" w:rsidRDefault="00E13A39" w:rsidP="00D73497">
            <w:pPr>
              <w:spacing w:after="120"/>
              <w:jc w:val="center"/>
              <w:rPr>
                <w:rFonts w:ascii="Calibri" w:eastAsia="Times New Roman" w:hAnsi="Calibri" w:cs="Calibri"/>
                <w:b/>
                <w:bCs/>
                <w:color w:val="000000"/>
                <w:sz w:val="12"/>
                <w:szCs w:val="18"/>
                <w:lang w:eastAsia="pl-PL"/>
              </w:rPr>
            </w:pPr>
          </w:p>
        </w:tc>
        <w:tc>
          <w:tcPr>
            <w:tcW w:w="1222" w:type="dxa"/>
            <w:vMerge w:val="restart"/>
            <w:tcBorders>
              <w:top w:val="single" w:sz="8" w:space="0" w:color="auto"/>
              <w:left w:val="single" w:sz="4" w:space="0" w:color="auto"/>
              <w:bottom w:val="nil"/>
              <w:right w:val="single" w:sz="4" w:space="0" w:color="auto"/>
            </w:tcBorders>
            <w:shd w:val="clear" w:color="000000" w:fill="D9D9D9"/>
            <w:vAlign w:val="center"/>
            <w:hideMark/>
          </w:tcPr>
          <w:p w:rsidR="00E13A39" w:rsidRPr="00E13A39" w:rsidRDefault="00E13A39" w:rsidP="00D73497">
            <w:pPr>
              <w:spacing w:after="120"/>
              <w:jc w:val="center"/>
              <w:rPr>
                <w:rFonts w:ascii="Calibri" w:eastAsia="Times New Roman" w:hAnsi="Calibri" w:cs="Calibri"/>
                <w:b/>
                <w:bCs/>
                <w:color w:val="000000"/>
                <w:sz w:val="12"/>
                <w:szCs w:val="18"/>
                <w:lang w:eastAsia="pl-PL"/>
              </w:rPr>
            </w:pPr>
            <w:r w:rsidRPr="00E13A39">
              <w:rPr>
                <w:rFonts w:ascii="Calibri" w:eastAsia="Times New Roman" w:hAnsi="Calibri" w:cs="Calibri"/>
                <w:b/>
                <w:bCs/>
                <w:color w:val="000000"/>
                <w:sz w:val="12"/>
                <w:szCs w:val="18"/>
                <w:lang w:eastAsia="pl-PL"/>
              </w:rPr>
              <w:t>Tytuł</w:t>
            </w:r>
          </w:p>
        </w:tc>
        <w:tc>
          <w:tcPr>
            <w:tcW w:w="2552" w:type="dxa"/>
            <w:gridSpan w:val="2"/>
            <w:tcBorders>
              <w:top w:val="single" w:sz="8" w:space="0" w:color="auto"/>
              <w:left w:val="nil"/>
              <w:bottom w:val="single" w:sz="4" w:space="0" w:color="auto"/>
              <w:right w:val="single" w:sz="4" w:space="0" w:color="auto"/>
            </w:tcBorders>
            <w:shd w:val="clear" w:color="000000" w:fill="D9D9D9"/>
            <w:noWrap/>
            <w:vAlign w:val="center"/>
            <w:hideMark/>
          </w:tcPr>
          <w:p w:rsidR="00E13A39" w:rsidRPr="00E13A39" w:rsidRDefault="00E13A39" w:rsidP="00D73497">
            <w:pPr>
              <w:spacing w:after="120"/>
              <w:jc w:val="center"/>
              <w:rPr>
                <w:rFonts w:ascii="Calibri" w:eastAsia="Times New Roman" w:hAnsi="Calibri" w:cs="Calibri"/>
                <w:b/>
                <w:bCs/>
                <w:color w:val="000000"/>
                <w:sz w:val="12"/>
                <w:szCs w:val="18"/>
                <w:lang w:eastAsia="pl-PL"/>
              </w:rPr>
            </w:pPr>
            <w:r w:rsidRPr="00E13A39">
              <w:rPr>
                <w:rFonts w:ascii="Calibri" w:eastAsia="Times New Roman" w:hAnsi="Calibri" w:cs="Calibri"/>
                <w:b/>
                <w:bCs/>
                <w:color w:val="000000"/>
                <w:sz w:val="12"/>
                <w:szCs w:val="18"/>
                <w:lang w:eastAsia="pl-PL"/>
              </w:rPr>
              <w:t>Alokacja</w:t>
            </w:r>
          </w:p>
        </w:tc>
        <w:tc>
          <w:tcPr>
            <w:tcW w:w="1134" w:type="dxa"/>
            <w:tcBorders>
              <w:top w:val="single" w:sz="8" w:space="0" w:color="auto"/>
              <w:left w:val="nil"/>
              <w:bottom w:val="single" w:sz="4" w:space="0" w:color="auto"/>
              <w:right w:val="single" w:sz="4" w:space="0" w:color="auto"/>
            </w:tcBorders>
            <w:shd w:val="clear" w:color="000000" w:fill="D9D9D9"/>
            <w:noWrap/>
            <w:vAlign w:val="center"/>
            <w:hideMark/>
          </w:tcPr>
          <w:p w:rsidR="00E13A39" w:rsidRPr="00E13A39" w:rsidRDefault="00E13A39" w:rsidP="00D73497">
            <w:pPr>
              <w:spacing w:after="120"/>
              <w:jc w:val="center"/>
              <w:rPr>
                <w:rFonts w:ascii="Calibri" w:eastAsia="Times New Roman" w:hAnsi="Calibri" w:cs="Calibri"/>
                <w:b/>
                <w:bCs/>
                <w:color w:val="000000"/>
                <w:sz w:val="12"/>
                <w:szCs w:val="18"/>
                <w:lang w:eastAsia="pl-PL"/>
              </w:rPr>
            </w:pPr>
            <w:r w:rsidRPr="00E13A39">
              <w:rPr>
                <w:rFonts w:ascii="Calibri" w:eastAsia="Times New Roman" w:hAnsi="Calibri" w:cs="Calibri"/>
                <w:b/>
                <w:bCs/>
                <w:color w:val="000000"/>
                <w:sz w:val="12"/>
                <w:szCs w:val="18"/>
                <w:lang w:eastAsia="pl-PL"/>
              </w:rPr>
              <w:t>I nabór</w:t>
            </w:r>
          </w:p>
        </w:tc>
        <w:tc>
          <w:tcPr>
            <w:tcW w:w="992" w:type="dxa"/>
            <w:tcBorders>
              <w:top w:val="single" w:sz="8" w:space="0" w:color="auto"/>
              <w:left w:val="nil"/>
              <w:bottom w:val="single" w:sz="4" w:space="0" w:color="auto"/>
              <w:right w:val="single" w:sz="4" w:space="0" w:color="auto"/>
            </w:tcBorders>
            <w:shd w:val="clear" w:color="000000" w:fill="D9D9D9"/>
            <w:noWrap/>
            <w:vAlign w:val="center"/>
            <w:hideMark/>
          </w:tcPr>
          <w:p w:rsidR="00E13A39" w:rsidRPr="00E13A39" w:rsidRDefault="00E13A39" w:rsidP="00D73497">
            <w:pPr>
              <w:spacing w:after="120"/>
              <w:jc w:val="center"/>
              <w:rPr>
                <w:rFonts w:ascii="Calibri" w:eastAsia="Times New Roman" w:hAnsi="Calibri" w:cs="Calibri"/>
                <w:b/>
                <w:bCs/>
                <w:color w:val="000000"/>
                <w:sz w:val="12"/>
                <w:szCs w:val="18"/>
                <w:lang w:eastAsia="pl-PL"/>
              </w:rPr>
            </w:pPr>
            <w:r w:rsidRPr="00E13A39">
              <w:rPr>
                <w:rFonts w:ascii="Calibri" w:eastAsia="Times New Roman" w:hAnsi="Calibri" w:cs="Calibri"/>
                <w:b/>
                <w:bCs/>
                <w:color w:val="000000"/>
                <w:sz w:val="12"/>
                <w:szCs w:val="18"/>
                <w:lang w:eastAsia="pl-PL"/>
              </w:rPr>
              <w:t>II nabór</w:t>
            </w:r>
          </w:p>
        </w:tc>
        <w:tc>
          <w:tcPr>
            <w:tcW w:w="1134" w:type="dxa"/>
            <w:tcBorders>
              <w:top w:val="single" w:sz="8" w:space="0" w:color="auto"/>
              <w:left w:val="single" w:sz="4" w:space="0" w:color="auto"/>
              <w:bottom w:val="single" w:sz="4" w:space="0" w:color="auto"/>
              <w:right w:val="single" w:sz="8" w:space="0" w:color="auto"/>
            </w:tcBorders>
            <w:shd w:val="clear" w:color="000000" w:fill="D9D9D9"/>
            <w:noWrap/>
            <w:vAlign w:val="center"/>
            <w:hideMark/>
          </w:tcPr>
          <w:p w:rsidR="00E13A39" w:rsidRPr="00E13A39" w:rsidRDefault="00E13A39" w:rsidP="00D73497">
            <w:pPr>
              <w:spacing w:after="120"/>
              <w:jc w:val="center"/>
              <w:rPr>
                <w:rFonts w:ascii="Calibri" w:eastAsia="Times New Roman" w:hAnsi="Calibri" w:cs="Calibri"/>
                <w:b/>
                <w:bCs/>
                <w:color w:val="000000"/>
                <w:sz w:val="12"/>
                <w:szCs w:val="18"/>
                <w:lang w:eastAsia="pl-PL"/>
              </w:rPr>
            </w:pPr>
            <w:r w:rsidRPr="00E13A39">
              <w:rPr>
                <w:rFonts w:ascii="Calibri" w:eastAsia="Times New Roman" w:hAnsi="Calibri" w:cs="Calibri"/>
                <w:b/>
                <w:bCs/>
                <w:color w:val="000000"/>
                <w:sz w:val="12"/>
                <w:szCs w:val="18"/>
                <w:lang w:eastAsia="pl-PL"/>
              </w:rPr>
              <w:t>III nabór (w ocenie)</w:t>
            </w:r>
          </w:p>
        </w:tc>
      </w:tr>
      <w:tr w:rsidR="00E13A39" w:rsidRPr="00E13A39" w:rsidTr="00D73497">
        <w:trPr>
          <w:trHeight w:val="780"/>
        </w:trPr>
        <w:tc>
          <w:tcPr>
            <w:tcW w:w="469" w:type="dxa"/>
            <w:vMerge/>
            <w:tcBorders>
              <w:top w:val="single" w:sz="8" w:space="0" w:color="auto"/>
              <w:left w:val="single" w:sz="8" w:space="0" w:color="auto"/>
              <w:bottom w:val="nil"/>
              <w:right w:val="single" w:sz="4" w:space="0" w:color="auto"/>
            </w:tcBorders>
            <w:vAlign w:val="center"/>
            <w:hideMark/>
          </w:tcPr>
          <w:p w:rsidR="00E13A39" w:rsidRPr="00E13A39" w:rsidRDefault="00E13A39" w:rsidP="00D73497">
            <w:pPr>
              <w:spacing w:after="120"/>
              <w:jc w:val="both"/>
              <w:rPr>
                <w:rFonts w:ascii="Calibri" w:eastAsia="Times New Roman" w:hAnsi="Calibri" w:cs="Calibri"/>
                <w:b/>
                <w:bCs/>
                <w:color w:val="000000"/>
                <w:sz w:val="12"/>
                <w:szCs w:val="18"/>
                <w:lang w:eastAsia="pl-PL"/>
              </w:rPr>
            </w:pPr>
          </w:p>
        </w:tc>
        <w:tc>
          <w:tcPr>
            <w:tcW w:w="1222" w:type="dxa"/>
            <w:vMerge/>
            <w:tcBorders>
              <w:top w:val="single" w:sz="8" w:space="0" w:color="auto"/>
              <w:left w:val="single" w:sz="4" w:space="0" w:color="auto"/>
              <w:bottom w:val="nil"/>
              <w:right w:val="single" w:sz="4" w:space="0" w:color="auto"/>
            </w:tcBorders>
            <w:vAlign w:val="center"/>
            <w:hideMark/>
          </w:tcPr>
          <w:p w:rsidR="00E13A39" w:rsidRPr="00E13A39" w:rsidRDefault="00E13A39" w:rsidP="00D73497">
            <w:pPr>
              <w:spacing w:after="120"/>
              <w:rPr>
                <w:rFonts w:ascii="Calibri" w:eastAsia="Times New Roman" w:hAnsi="Calibri" w:cs="Calibri"/>
                <w:b/>
                <w:bCs/>
                <w:color w:val="000000"/>
                <w:sz w:val="12"/>
                <w:szCs w:val="18"/>
                <w:lang w:eastAsia="pl-PL"/>
              </w:rPr>
            </w:pPr>
          </w:p>
        </w:tc>
        <w:tc>
          <w:tcPr>
            <w:tcW w:w="1276" w:type="dxa"/>
            <w:tcBorders>
              <w:top w:val="nil"/>
              <w:left w:val="nil"/>
              <w:bottom w:val="nil"/>
              <w:right w:val="single" w:sz="4" w:space="0" w:color="auto"/>
            </w:tcBorders>
            <w:shd w:val="clear" w:color="000000" w:fill="D9D9D9"/>
            <w:vAlign w:val="center"/>
            <w:hideMark/>
          </w:tcPr>
          <w:p w:rsidR="00E13A39" w:rsidRPr="00E13A39" w:rsidRDefault="00E13A39" w:rsidP="00D73497">
            <w:pPr>
              <w:spacing w:after="120"/>
              <w:jc w:val="center"/>
              <w:rPr>
                <w:rFonts w:ascii="Calibri" w:eastAsia="Times New Roman" w:hAnsi="Calibri" w:cs="Calibri"/>
                <w:b/>
                <w:bCs/>
                <w:color w:val="000000"/>
                <w:sz w:val="12"/>
                <w:szCs w:val="18"/>
                <w:lang w:eastAsia="pl-PL"/>
              </w:rPr>
            </w:pPr>
            <w:r w:rsidRPr="00E13A39">
              <w:rPr>
                <w:rFonts w:ascii="Calibri" w:eastAsia="Times New Roman" w:hAnsi="Calibri" w:cs="Calibri"/>
                <w:b/>
                <w:bCs/>
                <w:color w:val="000000"/>
                <w:sz w:val="12"/>
                <w:szCs w:val="18"/>
                <w:lang w:eastAsia="pl-PL"/>
              </w:rPr>
              <w:t>EUR</w:t>
            </w:r>
          </w:p>
        </w:tc>
        <w:tc>
          <w:tcPr>
            <w:tcW w:w="1276" w:type="dxa"/>
            <w:tcBorders>
              <w:top w:val="nil"/>
              <w:left w:val="nil"/>
              <w:bottom w:val="nil"/>
              <w:right w:val="single" w:sz="4" w:space="0" w:color="auto"/>
            </w:tcBorders>
            <w:shd w:val="clear" w:color="000000" w:fill="D9D9D9"/>
            <w:vAlign w:val="center"/>
            <w:hideMark/>
          </w:tcPr>
          <w:p w:rsidR="00E13A39" w:rsidRPr="00E13A39" w:rsidRDefault="00E13A39" w:rsidP="00D73497">
            <w:pPr>
              <w:spacing w:after="120"/>
              <w:jc w:val="center"/>
              <w:rPr>
                <w:rFonts w:ascii="Calibri" w:eastAsia="Times New Roman" w:hAnsi="Calibri" w:cs="Calibri"/>
                <w:b/>
                <w:bCs/>
                <w:color w:val="000000"/>
                <w:sz w:val="12"/>
                <w:szCs w:val="18"/>
                <w:lang w:eastAsia="pl-PL"/>
              </w:rPr>
            </w:pPr>
            <w:r w:rsidRPr="00E13A39">
              <w:rPr>
                <w:rFonts w:ascii="Calibri" w:eastAsia="Times New Roman" w:hAnsi="Calibri" w:cs="Calibri"/>
                <w:b/>
                <w:bCs/>
                <w:color w:val="000000"/>
                <w:sz w:val="12"/>
                <w:szCs w:val="18"/>
                <w:lang w:eastAsia="pl-PL"/>
              </w:rPr>
              <w:t>PLN</w:t>
            </w:r>
          </w:p>
        </w:tc>
        <w:tc>
          <w:tcPr>
            <w:tcW w:w="1134" w:type="dxa"/>
            <w:tcBorders>
              <w:top w:val="nil"/>
              <w:left w:val="nil"/>
              <w:bottom w:val="nil"/>
              <w:right w:val="single" w:sz="4" w:space="0" w:color="auto"/>
            </w:tcBorders>
            <w:shd w:val="clear" w:color="000000" w:fill="D9D9D9"/>
            <w:vAlign w:val="center"/>
            <w:hideMark/>
          </w:tcPr>
          <w:p w:rsidR="00E13A39" w:rsidRPr="00E13A39" w:rsidRDefault="00E13A39" w:rsidP="00D73497">
            <w:pPr>
              <w:spacing w:after="120"/>
              <w:jc w:val="center"/>
              <w:rPr>
                <w:rFonts w:ascii="Calibri" w:eastAsia="Times New Roman" w:hAnsi="Calibri" w:cs="Calibri"/>
                <w:b/>
                <w:bCs/>
                <w:color w:val="000000"/>
                <w:sz w:val="12"/>
                <w:szCs w:val="18"/>
                <w:lang w:eastAsia="pl-PL"/>
              </w:rPr>
            </w:pPr>
            <w:r w:rsidRPr="00E13A39">
              <w:rPr>
                <w:rFonts w:ascii="Calibri" w:eastAsia="Times New Roman" w:hAnsi="Calibri" w:cs="Calibri"/>
                <w:b/>
                <w:bCs/>
                <w:color w:val="000000"/>
                <w:sz w:val="12"/>
                <w:szCs w:val="18"/>
                <w:lang w:eastAsia="pl-PL"/>
              </w:rPr>
              <w:t>Łączna kwota dofinansowania</w:t>
            </w:r>
          </w:p>
        </w:tc>
        <w:tc>
          <w:tcPr>
            <w:tcW w:w="992" w:type="dxa"/>
            <w:tcBorders>
              <w:top w:val="nil"/>
              <w:left w:val="nil"/>
              <w:bottom w:val="nil"/>
              <w:right w:val="single" w:sz="4" w:space="0" w:color="auto"/>
            </w:tcBorders>
            <w:shd w:val="clear" w:color="000000" w:fill="D9D9D9"/>
            <w:vAlign w:val="center"/>
            <w:hideMark/>
          </w:tcPr>
          <w:p w:rsidR="00E13A39" w:rsidRPr="00E13A39" w:rsidRDefault="00E13A39" w:rsidP="00D73497">
            <w:pPr>
              <w:spacing w:after="120"/>
              <w:jc w:val="center"/>
              <w:rPr>
                <w:rFonts w:ascii="Calibri" w:eastAsia="Times New Roman" w:hAnsi="Calibri" w:cs="Calibri"/>
                <w:b/>
                <w:bCs/>
                <w:color w:val="000000"/>
                <w:sz w:val="12"/>
                <w:szCs w:val="18"/>
                <w:lang w:eastAsia="pl-PL"/>
              </w:rPr>
            </w:pPr>
            <w:r w:rsidRPr="00E13A39">
              <w:rPr>
                <w:rFonts w:ascii="Calibri" w:eastAsia="Times New Roman" w:hAnsi="Calibri" w:cs="Calibri"/>
                <w:b/>
                <w:bCs/>
                <w:color w:val="000000"/>
                <w:sz w:val="12"/>
                <w:szCs w:val="18"/>
                <w:lang w:eastAsia="pl-PL"/>
              </w:rPr>
              <w:t>Łączna kwota dofinansowania</w:t>
            </w:r>
          </w:p>
        </w:tc>
        <w:tc>
          <w:tcPr>
            <w:tcW w:w="1134" w:type="dxa"/>
            <w:tcBorders>
              <w:top w:val="nil"/>
              <w:left w:val="nil"/>
              <w:bottom w:val="nil"/>
              <w:right w:val="single" w:sz="8" w:space="0" w:color="auto"/>
            </w:tcBorders>
            <w:shd w:val="clear" w:color="000000" w:fill="D9D9D9"/>
            <w:vAlign w:val="center"/>
            <w:hideMark/>
          </w:tcPr>
          <w:p w:rsidR="00E13A39" w:rsidRPr="00E13A39" w:rsidRDefault="00E13A39" w:rsidP="00D73497">
            <w:pPr>
              <w:spacing w:after="120"/>
              <w:jc w:val="center"/>
              <w:rPr>
                <w:rFonts w:ascii="Calibri" w:eastAsia="Times New Roman" w:hAnsi="Calibri" w:cs="Calibri"/>
                <w:b/>
                <w:bCs/>
                <w:color w:val="000000"/>
                <w:sz w:val="12"/>
                <w:szCs w:val="18"/>
                <w:lang w:eastAsia="pl-PL"/>
              </w:rPr>
            </w:pPr>
            <w:r w:rsidRPr="00E13A39">
              <w:rPr>
                <w:rFonts w:ascii="Calibri" w:eastAsia="Times New Roman" w:hAnsi="Calibri" w:cs="Calibri"/>
                <w:b/>
                <w:bCs/>
                <w:color w:val="000000"/>
                <w:sz w:val="12"/>
                <w:szCs w:val="18"/>
                <w:lang w:eastAsia="pl-PL"/>
              </w:rPr>
              <w:t>Łączna kwota wnioskowanego dofinansowania</w:t>
            </w:r>
          </w:p>
        </w:tc>
      </w:tr>
      <w:tr w:rsidR="00E13A39" w:rsidRPr="00E13A39" w:rsidTr="00D73497">
        <w:trPr>
          <w:trHeight w:val="1020"/>
        </w:trPr>
        <w:tc>
          <w:tcPr>
            <w:tcW w:w="469" w:type="dxa"/>
            <w:tcBorders>
              <w:top w:val="single" w:sz="8" w:space="0" w:color="auto"/>
              <w:left w:val="single" w:sz="8" w:space="0" w:color="auto"/>
              <w:bottom w:val="single" w:sz="4" w:space="0" w:color="auto"/>
              <w:right w:val="single" w:sz="4" w:space="0" w:color="auto"/>
            </w:tcBorders>
            <w:shd w:val="clear" w:color="000000" w:fill="F2F2F2"/>
            <w:noWrap/>
            <w:vAlign w:val="center"/>
            <w:hideMark/>
          </w:tcPr>
          <w:p w:rsidR="00E13A39" w:rsidRPr="00E13A39" w:rsidRDefault="00E13A39" w:rsidP="00D73497">
            <w:pPr>
              <w:spacing w:after="120"/>
              <w:jc w:val="both"/>
              <w:rPr>
                <w:rFonts w:ascii="Calibri" w:eastAsia="Times New Roman" w:hAnsi="Calibri" w:cs="Calibri"/>
                <w:b/>
                <w:bCs/>
                <w:sz w:val="12"/>
                <w:szCs w:val="18"/>
                <w:lang w:eastAsia="pl-PL"/>
              </w:rPr>
            </w:pPr>
            <w:r w:rsidRPr="00E13A39">
              <w:rPr>
                <w:rFonts w:ascii="Calibri" w:eastAsia="Times New Roman" w:hAnsi="Calibri" w:cs="Calibri"/>
                <w:b/>
                <w:bCs/>
                <w:sz w:val="12"/>
                <w:szCs w:val="18"/>
                <w:lang w:eastAsia="pl-PL"/>
              </w:rPr>
              <w:t>1.7.1</w:t>
            </w:r>
          </w:p>
        </w:tc>
        <w:tc>
          <w:tcPr>
            <w:tcW w:w="1222" w:type="dxa"/>
            <w:tcBorders>
              <w:top w:val="single" w:sz="8" w:space="0" w:color="auto"/>
              <w:left w:val="nil"/>
              <w:bottom w:val="single" w:sz="4" w:space="0" w:color="auto"/>
              <w:right w:val="single" w:sz="4" w:space="0" w:color="auto"/>
            </w:tcBorders>
            <w:shd w:val="clear" w:color="auto" w:fill="auto"/>
            <w:vAlign w:val="center"/>
            <w:hideMark/>
          </w:tcPr>
          <w:p w:rsidR="00E13A39" w:rsidRPr="00E13A39" w:rsidRDefault="00E13A39" w:rsidP="00D73497">
            <w:pPr>
              <w:spacing w:after="120"/>
              <w:rPr>
                <w:rFonts w:ascii="Calibri" w:eastAsia="Times New Roman" w:hAnsi="Calibri" w:cs="Calibri"/>
                <w:b/>
                <w:bCs/>
                <w:sz w:val="12"/>
                <w:szCs w:val="18"/>
                <w:lang w:eastAsia="pl-PL"/>
              </w:rPr>
            </w:pPr>
            <w:r w:rsidRPr="00E13A39">
              <w:rPr>
                <w:rFonts w:ascii="Calibri" w:eastAsia="Times New Roman" w:hAnsi="Calibri" w:cs="Calibri"/>
                <w:b/>
                <w:bCs/>
                <w:sz w:val="12"/>
                <w:szCs w:val="18"/>
                <w:lang w:eastAsia="pl-PL"/>
              </w:rPr>
              <w:t>Wspieranie efektywności energetycznej w budynkach mieszkalnych w województwie śląskim</w:t>
            </w:r>
          </w:p>
        </w:tc>
        <w:tc>
          <w:tcPr>
            <w:tcW w:w="1276" w:type="dxa"/>
            <w:tcBorders>
              <w:top w:val="single" w:sz="8" w:space="0" w:color="auto"/>
              <w:left w:val="nil"/>
              <w:bottom w:val="single" w:sz="4" w:space="0" w:color="auto"/>
              <w:right w:val="single" w:sz="4" w:space="0" w:color="auto"/>
            </w:tcBorders>
            <w:shd w:val="clear" w:color="000000" w:fill="F2F2F2"/>
            <w:noWrap/>
            <w:vAlign w:val="center"/>
            <w:hideMark/>
          </w:tcPr>
          <w:p w:rsidR="00E13A39" w:rsidRPr="00CA09F1" w:rsidRDefault="00E13A39" w:rsidP="00D73497">
            <w:pPr>
              <w:spacing w:after="120"/>
              <w:jc w:val="right"/>
              <w:rPr>
                <w:rFonts w:ascii="Calibri" w:eastAsia="Times New Roman" w:hAnsi="Calibri" w:cs="Calibri"/>
                <w:sz w:val="14"/>
                <w:szCs w:val="16"/>
                <w:lang w:eastAsia="pl-PL"/>
              </w:rPr>
            </w:pPr>
            <w:r w:rsidRPr="00CA09F1">
              <w:rPr>
                <w:rFonts w:ascii="Calibri" w:eastAsia="Times New Roman" w:hAnsi="Calibri" w:cs="Calibri"/>
                <w:sz w:val="14"/>
                <w:szCs w:val="16"/>
                <w:lang w:eastAsia="pl-PL"/>
              </w:rPr>
              <w:t>30 442 232,00</w:t>
            </w:r>
          </w:p>
        </w:tc>
        <w:tc>
          <w:tcPr>
            <w:tcW w:w="1276" w:type="dxa"/>
            <w:tcBorders>
              <w:top w:val="single" w:sz="8" w:space="0" w:color="auto"/>
              <w:left w:val="nil"/>
              <w:bottom w:val="single" w:sz="4" w:space="0" w:color="auto"/>
              <w:right w:val="single" w:sz="4" w:space="0" w:color="auto"/>
            </w:tcBorders>
            <w:shd w:val="clear" w:color="000000" w:fill="F2F2F2"/>
            <w:noWrap/>
            <w:vAlign w:val="center"/>
            <w:hideMark/>
          </w:tcPr>
          <w:p w:rsidR="00E13A39" w:rsidRPr="00CA09F1" w:rsidRDefault="00E13A39" w:rsidP="00D73497">
            <w:pPr>
              <w:spacing w:after="120"/>
              <w:jc w:val="right"/>
              <w:rPr>
                <w:rFonts w:ascii="Calibri" w:eastAsia="Times New Roman" w:hAnsi="Calibri" w:cs="Calibri"/>
                <w:b/>
                <w:bCs/>
                <w:sz w:val="14"/>
                <w:szCs w:val="16"/>
                <w:lang w:eastAsia="pl-PL"/>
              </w:rPr>
            </w:pPr>
            <w:r w:rsidRPr="00CA09F1">
              <w:rPr>
                <w:rFonts w:ascii="Calibri" w:eastAsia="Times New Roman" w:hAnsi="Calibri" w:cs="Calibri"/>
                <w:b/>
                <w:bCs/>
                <w:sz w:val="14"/>
                <w:szCs w:val="16"/>
                <w:lang w:eastAsia="pl-PL"/>
              </w:rPr>
              <w:t>120 222 463,00</w:t>
            </w:r>
          </w:p>
        </w:tc>
        <w:tc>
          <w:tcPr>
            <w:tcW w:w="1134" w:type="dxa"/>
            <w:tcBorders>
              <w:top w:val="single" w:sz="8" w:space="0" w:color="auto"/>
              <w:left w:val="nil"/>
              <w:bottom w:val="single" w:sz="4" w:space="0" w:color="auto"/>
              <w:right w:val="single" w:sz="4" w:space="0" w:color="auto"/>
            </w:tcBorders>
            <w:shd w:val="clear" w:color="000000" w:fill="F2F2F2"/>
            <w:vAlign w:val="center"/>
            <w:hideMark/>
          </w:tcPr>
          <w:p w:rsidR="00E13A39" w:rsidRPr="00CA09F1" w:rsidRDefault="004D0F07" w:rsidP="00D73497">
            <w:pPr>
              <w:spacing w:after="120"/>
              <w:jc w:val="right"/>
              <w:rPr>
                <w:rFonts w:ascii="Calibri" w:eastAsia="Times New Roman" w:hAnsi="Calibri" w:cs="Calibri"/>
                <w:sz w:val="14"/>
                <w:szCs w:val="16"/>
                <w:lang w:eastAsia="pl-PL"/>
              </w:rPr>
            </w:pPr>
            <w:r>
              <w:rPr>
                <w:rFonts w:ascii="Calibri" w:eastAsia="Times New Roman" w:hAnsi="Calibri" w:cs="Calibri"/>
                <w:sz w:val="14"/>
                <w:szCs w:val="16"/>
                <w:lang w:eastAsia="pl-PL"/>
              </w:rPr>
              <w:t>5,87 mln zł</w:t>
            </w:r>
          </w:p>
        </w:tc>
        <w:tc>
          <w:tcPr>
            <w:tcW w:w="992" w:type="dxa"/>
            <w:tcBorders>
              <w:top w:val="single" w:sz="8" w:space="0" w:color="auto"/>
              <w:left w:val="nil"/>
              <w:bottom w:val="single" w:sz="4" w:space="0" w:color="auto"/>
              <w:right w:val="single" w:sz="4" w:space="0" w:color="auto"/>
            </w:tcBorders>
            <w:shd w:val="clear" w:color="000000" w:fill="F2F2F2"/>
            <w:vAlign w:val="center"/>
            <w:hideMark/>
          </w:tcPr>
          <w:p w:rsidR="00E13A39" w:rsidRPr="00CA09F1" w:rsidRDefault="004D0F07" w:rsidP="00D73497">
            <w:pPr>
              <w:spacing w:after="120"/>
              <w:jc w:val="right"/>
              <w:rPr>
                <w:rFonts w:ascii="Calibri" w:eastAsia="Times New Roman" w:hAnsi="Calibri" w:cs="Calibri"/>
                <w:sz w:val="14"/>
                <w:szCs w:val="16"/>
                <w:lang w:eastAsia="pl-PL"/>
              </w:rPr>
            </w:pPr>
            <w:r>
              <w:rPr>
                <w:rFonts w:ascii="Calibri" w:eastAsia="Times New Roman" w:hAnsi="Calibri" w:cs="Calibri"/>
                <w:sz w:val="14"/>
                <w:szCs w:val="16"/>
                <w:lang w:eastAsia="pl-PL"/>
              </w:rPr>
              <w:t>99,31 mln zł</w:t>
            </w:r>
          </w:p>
        </w:tc>
        <w:tc>
          <w:tcPr>
            <w:tcW w:w="1134" w:type="dxa"/>
            <w:tcBorders>
              <w:top w:val="single" w:sz="8" w:space="0" w:color="auto"/>
              <w:left w:val="nil"/>
              <w:bottom w:val="single" w:sz="4" w:space="0" w:color="auto"/>
              <w:right w:val="single" w:sz="8" w:space="0" w:color="auto"/>
            </w:tcBorders>
            <w:shd w:val="clear" w:color="000000" w:fill="F2F2F2"/>
            <w:noWrap/>
            <w:vAlign w:val="center"/>
            <w:hideMark/>
          </w:tcPr>
          <w:p w:rsidR="00E13A39" w:rsidRPr="00CA09F1" w:rsidRDefault="00E13A39" w:rsidP="00D73497">
            <w:pPr>
              <w:spacing w:after="120"/>
              <w:jc w:val="right"/>
              <w:rPr>
                <w:rFonts w:ascii="Calibri" w:eastAsia="Times New Roman" w:hAnsi="Calibri" w:cs="Calibri"/>
                <w:sz w:val="14"/>
                <w:szCs w:val="16"/>
                <w:lang w:eastAsia="pl-PL"/>
              </w:rPr>
            </w:pPr>
            <w:r w:rsidRPr="00CA09F1">
              <w:rPr>
                <w:rFonts w:ascii="Calibri" w:eastAsia="Times New Roman" w:hAnsi="Calibri" w:cs="Calibri"/>
                <w:sz w:val="14"/>
                <w:szCs w:val="16"/>
                <w:lang w:eastAsia="pl-PL"/>
              </w:rPr>
              <w:t>23,99 mln PLN</w:t>
            </w:r>
          </w:p>
        </w:tc>
      </w:tr>
      <w:tr w:rsidR="00E13A39" w:rsidRPr="00E13A39" w:rsidTr="00D73497">
        <w:trPr>
          <w:trHeight w:val="600"/>
        </w:trPr>
        <w:tc>
          <w:tcPr>
            <w:tcW w:w="469" w:type="dxa"/>
            <w:tcBorders>
              <w:top w:val="nil"/>
              <w:left w:val="single" w:sz="8" w:space="0" w:color="auto"/>
              <w:bottom w:val="single" w:sz="4" w:space="0" w:color="auto"/>
              <w:right w:val="single" w:sz="4" w:space="0" w:color="auto"/>
            </w:tcBorders>
            <w:shd w:val="clear" w:color="000000" w:fill="F2F2F2"/>
            <w:noWrap/>
            <w:vAlign w:val="center"/>
            <w:hideMark/>
          </w:tcPr>
          <w:p w:rsidR="00E13A39" w:rsidRPr="00E13A39" w:rsidRDefault="00E13A39" w:rsidP="00D73497">
            <w:pPr>
              <w:spacing w:after="120"/>
              <w:jc w:val="both"/>
              <w:rPr>
                <w:rFonts w:ascii="Calibri" w:eastAsia="Times New Roman" w:hAnsi="Calibri" w:cs="Calibri"/>
                <w:b/>
                <w:bCs/>
                <w:sz w:val="12"/>
                <w:szCs w:val="18"/>
                <w:lang w:eastAsia="pl-PL"/>
              </w:rPr>
            </w:pPr>
            <w:r w:rsidRPr="00E13A39">
              <w:rPr>
                <w:rFonts w:ascii="Calibri" w:eastAsia="Times New Roman" w:hAnsi="Calibri" w:cs="Calibri"/>
                <w:b/>
                <w:bCs/>
                <w:sz w:val="12"/>
                <w:szCs w:val="18"/>
                <w:lang w:eastAsia="pl-PL"/>
              </w:rPr>
              <w:t>1.7.2</w:t>
            </w:r>
          </w:p>
        </w:tc>
        <w:tc>
          <w:tcPr>
            <w:tcW w:w="1222" w:type="dxa"/>
            <w:tcBorders>
              <w:top w:val="nil"/>
              <w:left w:val="nil"/>
              <w:bottom w:val="single" w:sz="4" w:space="0" w:color="auto"/>
              <w:right w:val="single" w:sz="4" w:space="0" w:color="auto"/>
            </w:tcBorders>
            <w:shd w:val="clear" w:color="auto" w:fill="auto"/>
            <w:vAlign w:val="center"/>
            <w:hideMark/>
          </w:tcPr>
          <w:p w:rsidR="00E13A39" w:rsidRPr="00E13A39" w:rsidRDefault="00E13A39" w:rsidP="00D73497">
            <w:pPr>
              <w:spacing w:after="120"/>
              <w:rPr>
                <w:rFonts w:ascii="Calibri" w:eastAsia="Times New Roman" w:hAnsi="Calibri" w:cs="Calibri"/>
                <w:b/>
                <w:bCs/>
                <w:sz w:val="12"/>
                <w:szCs w:val="18"/>
                <w:lang w:eastAsia="pl-PL"/>
              </w:rPr>
            </w:pPr>
            <w:r w:rsidRPr="00E13A39">
              <w:rPr>
                <w:rFonts w:ascii="Calibri" w:eastAsia="Times New Roman" w:hAnsi="Calibri" w:cs="Calibri"/>
                <w:b/>
                <w:bCs/>
                <w:sz w:val="12"/>
                <w:szCs w:val="18"/>
                <w:lang w:eastAsia="pl-PL"/>
              </w:rPr>
              <w:t>Efektywna dystrybucja ciepła i chłodu w województwie śląskim</w:t>
            </w:r>
          </w:p>
        </w:tc>
        <w:tc>
          <w:tcPr>
            <w:tcW w:w="1276" w:type="dxa"/>
            <w:tcBorders>
              <w:top w:val="nil"/>
              <w:left w:val="nil"/>
              <w:bottom w:val="single" w:sz="4" w:space="0" w:color="auto"/>
              <w:right w:val="single" w:sz="4" w:space="0" w:color="auto"/>
            </w:tcBorders>
            <w:shd w:val="clear" w:color="000000" w:fill="F2F2F2"/>
            <w:noWrap/>
            <w:vAlign w:val="center"/>
            <w:hideMark/>
          </w:tcPr>
          <w:p w:rsidR="00E13A39" w:rsidRPr="00CA09F1" w:rsidRDefault="00E13A39" w:rsidP="00D73497">
            <w:pPr>
              <w:spacing w:after="120"/>
              <w:jc w:val="right"/>
              <w:rPr>
                <w:rFonts w:ascii="Calibri" w:eastAsia="Times New Roman" w:hAnsi="Calibri" w:cs="Calibri"/>
                <w:sz w:val="14"/>
                <w:szCs w:val="16"/>
                <w:lang w:eastAsia="pl-PL"/>
              </w:rPr>
            </w:pPr>
            <w:r w:rsidRPr="00CA09F1">
              <w:rPr>
                <w:rFonts w:ascii="Calibri" w:eastAsia="Times New Roman" w:hAnsi="Calibri" w:cs="Calibri"/>
                <w:sz w:val="14"/>
                <w:szCs w:val="16"/>
                <w:lang w:eastAsia="pl-PL"/>
              </w:rPr>
              <w:t>186 647 784,00</w:t>
            </w:r>
          </w:p>
        </w:tc>
        <w:tc>
          <w:tcPr>
            <w:tcW w:w="1276" w:type="dxa"/>
            <w:tcBorders>
              <w:top w:val="nil"/>
              <w:left w:val="nil"/>
              <w:bottom w:val="single" w:sz="4" w:space="0" w:color="auto"/>
              <w:right w:val="single" w:sz="4" w:space="0" w:color="auto"/>
            </w:tcBorders>
            <w:shd w:val="clear" w:color="000000" w:fill="F2F2F2"/>
            <w:noWrap/>
            <w:vAlign w:val="center"/>
            <w:hideMark/>
          </w:tcPr>
          <w:p w:rsidR="00E13A39" w:rsidRPr="00CA09F1" w:rsidRDefault="00E13A39" w:rsidP="00D73497">
            <w:pPr>
              <w:spacing w:after="120"/>
              <w:jc w:val="right"/>
              <w:rPr>
                <w:rFonts w:ascii="Calibri" w:eastAsia="Times New Roman" w:hAnsi="Calibri" w:cs="Calibri"/>
                <w:b/>
                <w:bCs/>
                <w:sz w:val="14"/>
                <w:szCs w:val="16"/>
                <w:lang w:eastAsia="pl-PL"/>
              </w:rPr>
            </w:pPr>
            <w:r w:rsidRPr="00CA09F1">
              <w:rPr>
                <w:rFonts w:ascii="Calibri" w:eastAsia="Times New Roman" w:hAnsi="Calibri" w:cs="Calibri"/>
                <w:b/>
                <w:bCs/>
                <w:sz w:val="14"/>
                <w:szCs w:val="16"/>
                <w:lang w:eastAsia="pl-PL"/>
              </w:rPr>
              <w:t>737 109 429,00</w:t>
            </w:r>
          </w:p>
        </w:tc>
        <w:tc>
          <w:tcPr>
            <w:tcW w:w="1134" w:type="dxa"/>
            <w:tcBorders>
              <w:top w:val="nil"/>
              <w:left w:val="nil"/>
              <w:bottom w:val="single" w:sz="4" w:space="0" w:color="auto"/>
              <w:right w:val="single" w:sz="4" w:space="0" w:color="auto"/>
            </w:tcBorders>
            <w:shd w:val="clear" w:color="000000" w:fill="F2F2F2"/>
            <w:noWrap/>
            <w:vAlign w:val="center"/>
            <w:hideMark/>
          </w:tcPr>
          <w:p w:rsidR="00E13A39" w:rsidRPr="00CA09F1" w:rsidRDefault="00E13A39" w:rsidP="00D73497">
            <w:pPr>
              <w:spacing w:after="120"/>
              <w:jc w:val="right"/>
              <w:rPr>
                <w:rFonts w:ascii="Calibri" w:eastAsia="Times New Roman" w:hAnsi="Calibri" w:cs="Calibri"/>
                <w:sz w:val="14"/>
                <w:szCs w:val="16"/>
                <w:lang w:eastAsia="pl-PL"/>
              </w:rPr>
            </w:pPr>
            <w:r w:rsidRPr="00CA09F1">
              <w:rPr>
                <w:rFonts w:ascii="Calibri" w:eastAsia="Times New Roman" w:hAnsi="Calibri" w:cs="Calibri"/>
                <w:sz w:val="14"/>
                <w:szCs w:val="16"/>
                <w:lang w:eastAsia="pl-PL"/>
              </w:rPr>
              <w:t>200 mln PLN</w:t>
            </w:r>
          </w:p>
        </w:tc>
        <w:tc>
          <w:tcPr>
            <w:tcW w:w="992" w:type="dxa"/>
            <w:tcBorders>
              <w:top w:val="nil"/>
              <w:left w:val="nil"/>
              <w:bottom w:val="single" w:sz="4" w:space="0" w:color="auto"/>
              <w:right w:val="single" w:sz="4" w:space="0" w:color="auto"/>
            </w:tcBorders>
            <w:shd w:val="clear" w:color="000000" w:fill="F2F2F2"/>
            <w:vAlign w:val="center"/>
            <w:hideMark/>
          </w:tcPr>
          <w:p w:rsidR="00E13A39" w:rsidRPr="00CA09F1" w:rsidRDefault="00E13A39" w:rsidP="00D73497">
            <w:pPr>
              <w:spacing w:after="120"/>
              <w:jc w:val="right"/>
              <w:rPr>
                <w:rFonts w:ascii="Calibri" w:eastAsia="Times New Roman" w:hAnsi="Calibri" w:cs="Calibri"/>
                <w:sz w:val="14"/>
                <w:szCs w:val="16"/>
                <w:lang w:eastAsia="pl-PL"/>
              </w:rPr>
            </w:pPr>
            <w:r w:rsidRPr="00CA09F1">
              <w:rPr>
                <w:rFonts w:ascii="Calibri" w:eastAsia="Times New Roman" w:hAnsi="Calibri" w:cs="Calibri"/>
                <w:sz w:val="14"/>
                <w:szCs w:val="16"/>
                <w:lang w:eastAsia="pl-PL"/>
              </w:rPr>
              <w:t>73,4 mln PLN</w:t>
            </w:r>
          </w:p>
        </w:tc>
        <w:tc>
          <w:tcPr>
            <w:tcW w:w="1134" w:type="dxa"/>
            <w:tcBorders>
              <w:top w:val="nil"/>
              <w:left w:val="nil"/>
              <w:bottom w:val="single" w:sz="4" w:space="0" w:color="auto"/>
              <w:right w:val="single" w:sz="8" w:space="0" w:color="auto"/>
            </w:tcBorders>
            <w:shd w:val="clear" w:color="000000" w:fill="F2F2F2"/>
            <w:noWrap/>
            <w:vAlign w:val="center"/>
            <w:hideMark/>
          </w:tcPr>
          <w:p w:rsidR="00E13A39" w:rsidRPr="00CA09F1" w:rsidRDefault="00E13A39" w:rsidP="00D73497">
            <w:pPr>
              <w:spacing w:after="120"/>
              <w:jc w:val="right"/>
              <w:rPr>
                <w:rFonts w:ascii="Calibri" w:eastAsia="Times New Roman" w:hAnsi="Calibri" w:cs="Calibri"/>
                <w:sz w:val="14"/>
                <w:szCs w:val="16"/>
                <w:lang w:eastAsia="pl-PL"/>
              </w:rPr>
            </w:pPr>
            <w:r w:rsidRPr="00CA09F1">
              <w:rPr>
                <w:rFonts w:ascii="Calibri" w:eastAsia="Times New Roman" w:hAnsi="Calibri" w:cs="Calibri"/>
                <w:sz w:val="14"/>
                <w:szCs w:val="16"/>
                <w:lang w:eastAsia="pl-PL"/>
              </w:rPr>
              <w:t> 38,84 mln PLN</w:t>
            </w:r>
          </w:p>
        </w:tc>
      </w:tr>
      <w:tr w:rsidR="00E13A39" w:rsidRPr="00E13A39" w:rsidTr="00D73497">
        <w:trPr>
          <w:trHeight w:val="1035"/>
        </w:trPr>
        <w:tc>
          <w:tcPr>
            <w:tcW w:w="469" w:type="dxa"/>
            <w:tcBorders>
              <w:top w:val="nil"/>
              <w:left w:val="single" w:sz="8" w:space="0" w:color="auto"/>
              <w:bottom w:val="nil"/>
              <w:right w:val="single" w:sz="4" w:space="0" w:color="auto"/>
            </w:tcBorders>
            <w:shd w:val="clear" w:color="000000" w:fill="F2F2F2"/>
            <w:noWrap/>
            <w:vAlign w:val="center"/>
            <w:hideMark/>
          </w:tcPr>
          <w:p w:rsidR="00E13A39" w:rsidRPr="00E13A39" w:rsidRDefault="00E13A39" w:rsidP="00D73497">
            <w:pPr>
              <w:spacing w:after="120"/>
              <w:jc w:val="both"/>
              <w:rPr>
                <w:rFonts w:ascii="Calibri" w:eastAsia="Times New Roman" w:hAnsi="Calibri" w:cs="Calibri"/>
                <w:b/>
                <w:bCs/>
                <w:sz w:val="12"/>
                <w:szCs w:val="18"/>
                <w:lang w:eastAsia="pl-PL"/>
              </w:rPr>
            </w:pPr>
            <w:r w:rsidRPr="00E13A39">
              <w:rPr>
                <w:rFonts w:ascii="Calibri" w:eastAsia="Times New Roman" w:hAnsi="Calibri" w:cs="Calibri"/>
                <w:b/>
                <w:bCs/>
                <w:sz w:val="12"/>
                <w:szCs w:val="18"/>
                <w:lang w:eastAsia="pl-PL"/>
              </w:rPr>
              <w:t>1.7.3</w:t>
            </w:r>
          </w:p>
        </w:tc>
        <w:tc>
          <w:tcPr>
            <w:tcW w:w="1222" w:type="dxa"/>
            <w:tcBorders>
              <w:top w:val="nil"/>
              <w:left w:val="nil"/>
              <w:bottom w:val="nil"/>
              <w:right w:val="single" w:sz="4" w:space="0" w:color="auto"/>
            </w:tcBorders>
            <w:shd w:val="clear" w:color="auto" w:fill="auto"/>
            <w:vAlign w:val="center"/>
            <w:hideMark/>
          </w:tcPr>
          <w:p w:rsidR="00E13A39" w:rsidRPr="00E13A39" w:rsidRDefault="00E13A39" w:rsidP="00D73497">
            <w:pPr>
              <w:spacing w:after="120"/>
              <w:rPr>
                <w:rFonts w:ascii="Calibri" w:eastAsia="Times New Roman" w:hAnsi="Calibri" w:cs="Calibri"/>
                <w:b/>
                <w:bCs/>
                <w:sz w:val="12"/>
                <w:szCs w:val="18"/>
                <w:lang w:eastAsia="pl-PL"/>
              </w:rPr>
            </w:pPr>
            <w:r w:rsidRPr="00E13A39">
              <w:rPr>
                <w:rFonts w:ascii="Calibri" w:eastAsia="Times New Roman" w:hAnsi="Calibri" w:cs="Calibri"/>
                <w:b/>
                <w:bCs/>
                <w:sz w:val="12"/>
                <w:szCs w:val="18"/>
                <w:lang w:eastAsia="pl-PL"/>
              </w:rPr>
              <w:t>Promowanie wykorzystywania wysokosprawnej kogeneracji ciepła i energii elektrycznej w województwie śląskim</w:t>
            </w:r>
          </w:p>
        </w:tc>
        <w:tc>
          <w:tcPr>
            <w:tcW w:w="1276" w:type="dxa"/>
            <w:tcBorders>
              <w:top w:val="nil"/>
              <w:left w:val="nil"/>
              <w:bottom w:val="nil"/>
              <w:right w:val="single" w:sz="4" w:space="0" w:color="auto"/>
            </w:tcBorders>
            <w:shd w:val="clear" w:color="000000" w:fill="F2F2F2"/>
            <w:noWrap/>
            <w:vAlign w:val="center"/>
            <w:hideMark/>
          </w:tcPr>
          <w:p w:rsidR="00E13A39" w:rsidRPr="00CA09F1" w:rsidRDefault="00E13A39" w:rsidP="00D73497">
            <w:pPr>
              <w:spacing w:after="120"/>
              <w:jc w:val="right"/>
              <w:rPr>
                <w:rFonts w:ascii="Calibri" w:eastAsia="Times New Roman" w:hAnsi="Calibri" w:cs="Calibri"/>
                <w:sz w:val="14"/>
                <w:szCs w:val="16"/>
                <w:lang w:eastAsia="pl-PL"/>
              </w:rPr>
            </w:pPr>
            <w:r w:rsidRPr="00CA09F1">
              <w:rPr>
                <w:rFonts w:ascii="Calibri" w:eastAsia="Times New Roman" w:hAnsi="Calibri" w:cs="Calibri"/>
                <w:sz w:val="14"/>
                <w:szCs w:val="16"/>
                <w:lang w:eastAsia="pl-PL"/>
              </w:rPr>
              <w:t>23 781 040,00</w:t>
            </w:r>
          </w:p>
        </w:tc>
        <w:tc>
          <w:tcPr>
            <w:tcW w:w="1276" w:type="dxa"/>
            <w:tcBorders>
              <w:top w:val="nil"/>
              <w:left w:val="nil"/>
              <w:bottom w:val="nil"/>
              <w:right w:val="single" w:sz="4" w:space="0" w:color="auto"/>
            </w:tcBorders>
            <w:shd w:val="clear" w:color="000000" w:fill="F2F2F2"/>
            <w:noWrap/>
            <w:vAlign w:val="center"/>
            <w:hideMark/>
          </w:tcPr>
          <w:p w:rsidR="00E13A39" w:rsidRPr="00CA09F1" w:rsidRDefault="00E13A39" w:rsidP="00D73497">
            <w:pPr>
              <w:spacing w:after="120"/>
              <w:jc w:val="right"/>
              <w:rPr>
                <w:rFonts w:ascii="Calibri" w:eastAsia="Times New Roman" w:hAnsi="Calibri" w:cs="Calibri"/>
                <w:b/>
                <w:bCs/>
                <w:sz w:val="14"/>
                <w:szCs w:val="16"/>
                <w:lang w:eastAsia="pl-PL"/>
              </w:rPr>
            </w:pPr>
            <w:r w:rsidRPr="00CA09F1">
              <w:rPr>
                <w:rFonts w:ascii="Calibri" w:eastAsia="Times New Roman" w:hAnsi="Calibri" w:cs="Calibri"/>
                <w:b/>
                <w:bCs/>
                <w:sz w:val="14"/>
                <w:szCs w:val="16"/>
                <w:lang w:eastAsia="pl-PL"/>
              </w:rPr>
              <w:t>93 916 083,00</w:t>
            </w:r>
          </w:p>
        </w:tc>
        <w:tc>
          <w:tcPr>
            <w:tcW w:w="1134" w:type="dxa"/>
            <w:tcBorders>
              <w:top w:val="nil"/>
              <w:left w:val="nil"/>
              <w:bottom w:val="single" w:sz="8" w:space="0" w:color="auto"/>
              <w:right w:val="single" w:sz="4" w:space="0" w:color="auto"/>
            </w:tcBorders>
            <w:shd w:val="clear" w:color="000000" w:fill="F2F2F2"/>
            <w:noWrap/>
            <w:vAlign w:val="center"/>
            <w:hideMark/>
          </w:tcPr>
          <w:p w:rsidR="00E13A39" w:rsidRPr="00CA09F1" w:rsidRDefault="00E13A39" w:rsidP="00D73497">
            <w:pPr>
              <w:spacing w:after="120"/>
              <w:jc w:val="right"/>
              <w:rPr>
                <w:rFonts w:ascii="Calibri" w:eastAsia="Times New Roman" w:hAnsi="Calibri" w:cs="Calibri"/>
                <w:sz w:val="14"/>
                <w:szCs w:val="16"/>
                <w:lang w:eastAsia="pl-PL"/>
              </w:rPr>
            </w:pPr>
            <w:r w:rsidRPr="00CA09F1">
              <w:rPr>
                <w:rFonts w:ascii="Calibri" w:eastAsia="Times New Roman" w:hAnsi="Calibri" w:cs="Calibri"/>
                <w:sz w:val="14"/>
                <w:szCs w:val="16"/>
                <w:lang w:eastAsia="pl-PL"/>
              </w:rPr>
              <w:t>7,6 mln PLN</w:t>
            </w:r>
          </w:p>
        </w:tc>
        <w:tc>
          <w:tcPr>
            <w:tcW w:w="992" w:type="dxa"/>
            <w:tcBorders>
              <w:top w:val="nil"/>
              <w:left w:val="nil"/>
              <w:bottom w:val="single" w:sz="8" w:space="0" w:color="auto"/>
              <w:right w:val="single" w:sz="4" w:space="0" w:color="auto"/>
            </w:tcBorders>
            <w:shd w:val="clear" w:color="000000" w:fill="F2F2F2"/>
            <w:noWrap/>
            <w:vAlign w:val="center"/>
            <w:hideMark/>
          </w:tcPr>
          <w:p w:rsidR="00E13A39" w:rsidRPr="00CA09F1" w:rsidRDefault="00E13A39" w:rsidP="00D73497">
            <w:pPr>
              <w:spacing w:after="120"/>
              <w:jc w:val="right"/>
              <w:rPr>
                <w:rFonts w:ascii="Calibri" w:eastAsia="Times New Roman" w:hAnsi="Calibri" w:cs="Calibri"/>
                <w:sz w:val="14"/>
                <w:szCs w:val="16"/>
                <w:lang w:eastAsia="pl-PL"/>
              </w:rPr>
            </w:pPr>
            <w:r w:rsidRPr="00CA09F1">
              <w:rPr>
                <w:rFonts w:ascii="Calibri" w:eastAsia="Times New Roman" w:hAnsi="Calibri" w:cs="Calibri"/>
                <w:sz w:val="14"/>
                <w:szCs w:val="16"/>
                <w:lang w:eastAsia="pl-PL"/>
              </w:rPr>
              <w:t>0</w:t>
            </w:r>
            <w:r w:rsidR="004D0F07">
              <w:rPr>
                <w:rFonts w:ascii="Calibri" w:eastAsia="Times New Roman" w:hAnsi="Calibri" w:cs="Calibri"/>
                <w:sz w:val="14"/>
                <w:szCs w:val="16"/>
                <w:lang w:eastAsia="pl-PL"/>
              </w:rPr>
              <w:t>,00 zł</w:t>
            </w:r>
          </w:p>
        </w:tc>
        <w:tc>
          <w:tcPr>
            <w:tcW w:w="1134" w:type="dxa"/>
            <w:tcBorders>
              <w:top w:val="nil"/>
              <w:left w:val="nil"/>
              <w:bottom w:val="single" w:sz="8" w:space="0" w:color="auto"/>
              <w:right w:val="single" w:sz="8" w:space="0" w:color="auto"/>
            </w:tcBorders>
            <w:shd w:val="clear" w:color="000000" w:fill="F2F2F2"/>
            <w:noWrap/>
            <w:vAlign w:val="center"/>
            <w:hideMark/>
          </w:tcPr>
          <w:p w:rsidR="00E13A39" w:rsidRPr="00CA09F1" w:rsidRDefault="00E13A39" w:rsidP="00D73497">
            <w:pPr>
              <w:spacing w:after="120"/>
              <w:jc w:val="right"/>
              <w:rPr>
                <w:rFonts w:ascii="Calibri" w:eastAsia="Times New Roman" w:hAnsi="Calibri" w:cs="Calibri"/>
                <w:sz w:val="14"/>
                <w:szCs w:val="16"/>
                <w:lang w:eastAsia="pl-PL"/>
              </w:rPr>
            </w:pPr>
            <w:r w:rsidRPr="00CA09F1">
              <w:rPr>
                <w:rFonts w:ascii="Calibri" w:eastAsia="Times New Roman" w:hAnsi="Calibri" w:cs="Calibri"/>
                <w:sz w:val="14"/>
                <w:szCs w:val="16"/>
                <w:lang w:eastAsia="pl-PL"/>
              </w:rPr>
              <w:t>55,94 mln PLN</w:t>
            </w:r>
          </w:p>
        </w:tc>
      </w:tr>
      <w:tr w:rsidR="00E13A39" w:rsidRPr="00E13A39" w:rsidTr="00D73497">
        <w:trPr>
          <w:trHeight w:val="300"/>
        </w:trPr>
        <w:tc>
          <w:tcPr>
            <w:tcW w:w="1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3A39" w:rsidRPr="00E13A39" w:rsidRDefault="00E13A39" w:rsidP="00D73497">
            <w:pPr>
              <w:spacing w:after="120"/>
              <w:jc w:val="center"/>
              <w:rPr>
                <w:rFonts w:ascii="Calibri" w:eastAsia="Times New Roman" w:hAnsi="Calibri" w:cs="Calibri"/>
                <w:b/>
                <w:bCs/>
                <w:color w:val="000000"/>
                <w:sz w:val="12"/>
                <w:szCs w:val="18"/>
                <w:lang w:eastAsia="pl-PL"/>
              </w:rPr>
            </w:pPr>
            <w:r w:rsidRPr="00E13A39">
              <w:rPr>
                <w:rFonts w:ascii="Calibri" w:eastAsia="Times New Roman" w:hAnsi="Calibri" w:cs="Calibri"/>
                <w:b/>
                <w:bCs/>
                <w:color w:val="000000"/>
                <w:sz w:val="12"/>
                <w:szCs w:val="18"/>
                <w:lang w:eastAsia="pl-PL"/>
              </w:rPr>
              <w:t>SUMA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13A39" w:rsidRPr="00CA09F1" w:rsidRDefault="00CA09F1" w:rsidP="00D73497">
            <w:pPr>
              <w:spacing w:after="120"/>
              <w:jc w:val="right"/>
              <w:rPr>
                <w:rFonts w:ascii="Calibri" w:eastAsia="Times New Roman" w:hAnsi="Calibri" w:cs="Calibri"/>
                <w:b/>
                <w:bCs/>
                <w:color w:val="000000"/>
                <w:sz w:val="14"/>
                <w:szCs w:val="14"/>
                <w:lang w:eastAsia="pl-PL"/>
              </w:rPr>
            </w:pPr>
            <w:r>
              <w:rPr>
                <w:rFonts w:ascii="Calibri" w:eastAsia="Times New Roman" w:hAnsi="Calibri" w:cs="Calibri"/>
                <w:b/>
                <w:bCs/>
                <w:color w:val="000000"/>
                <w:sz w:val="14"/>
                <w:szCs w:val="14"/>
                <w:lang w:eastAsia="pl-PL"/>
              </w:rPr>
              <w:t xml:space="preserve">€ </w:t>
            </w:r>
            <w:r w:rsidR="00E13A39" w:rsidRPr="00CA09F1">
              <w:rPr>
                <w:rFonts w:ascii="Calibri" w:eastAsia="Times New Roman" w:hAnsi="Calibri" w:cs="Calibri"/>
                <w:b/>
                <w:bCs/>
                <w:color w:val="000000"/>
                <w:sz w:val="14"/>
                <w:szCs w:val="14"/>
                <w:lang w:eastAsia="pl-PL"/>
              </w:rPr>
              <w:t>240 871 056,00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13A39" w:rsidRPr="00CA09F1" w:rsidRDefault="00E13A39" w:rsidP="00D73497">
            <w:pPr>
              <w:spacing w:after="120"/>
              <w:jc w:val="right"/>
              <w:rPr>
                <w:rFonts w:ascii="Calibri" w:eastAsia="Times New Roman" w:hAnsi="Calibri" w:cs="Calibri"/>
                <w:b/>
                <w:bCs/>
                <w:color w:val="000000"/>
                <w:sz w:val="14"/>
                <w:szCs w:val="14"/>
                <w:lang w:eastAsia="pl-PL"/>
              </w:rPr>
            </w:pPr>
            <w:r w:rsidRPr="00CA09F1">
              <w:rPr>
                <w:rFonts w:ascii="Calibri" w:eastAsia="Times New Roman" w:hAnsi="Calibri" w:cs="Calibri"/>
                <w:b/>
                <w:bCs/>
                <w:color w:val="000000"/>
                <w:sz w:val="14"/>
                <w:szCs w:val="14"/>
                <w:lang w:eastAsia="pl-PL"/>
              </w:rPr>
              <w:t>951 247 975,00 zł</w:t>
            </w:r>
          </w:p>
        </w:tc>
        <w:tc>
          <w:tcPr>
            <w:tcW w:w="1134" w:type="dxa"/>
            <w:tcBorders>
              <w:top w:val="nil"/>
              <w:left w:val="nil"/>
              <w:bottom w:val="nil"/>
              <w:right w:val="nil"/>
            </w:tcBorders>
            <w:shd w:val="clear" w:color="auto" w:fill="auto"/>
            <w:noWrap/>
            <w:vAlign w:val="bottom"/>
            <w:hideMark/>
          </w:tcPr>
          <w:p w:rsidR="00E13A39" w:rsidRPr="00E13A39" w:rsidRDefault="00E13A39" w:rsidP="00D73497">
            <w:pPr>
              <w:spacing w:after="120"/>
              <w:jc w:val="right"/>
              <w:rPr>
                <w:rFonts w:ascii="Calibri" w:eastAsia="Times New Roman" w:hAnsi="Calibri" w:cs="Calibri"/>
                <w:b/>
                <w:bCs/>
                <w:color w:val="000000"/>
                <w:sz w:val="12"/>
                <w:szCs w:val="18"/>
                <w:lang w:eastAsia="pl-PL"/>
              </w:rPr>
            </w:pPr>
          </w:p>
        </w:tc>
        <w:tc>
          <w:tcPr>
            <w:tcW w:w="992" w:type="dxa"/>
            <w:tcBorders>
              <w:top w:val="nil"/>
              <w:left w:val="nil"/>
              <w:bottom w:val="nil"/>
              <w:right w:val="nil"/>
            </w:tcBorders>
            <w:shd w:val="clear" w:color="auto" w:fill="auto"/>
            <w:noWrap/>
            <w:vAlign w:val="bottom"/>
            <w:hideMark/>
          </w:tcPr>
          <w:p w:rsidR="00E13A39" w:rsidRPr="00E13A39" w:rsidRDefault="00E13A39" w:rsidP="00D73497">
            <w:pPr>
              <w:spacing w:after="120"/>
              <w:jc w:val="right"/>
              <w:rPr>
                <w:rFonts w:ascii="Times New Roman" w:eastAsia="Times New Roman" w:hAnsi="Times New Roman" w:cs="Times New Roman"/>
                <w:sz w:val="12"/>
                <w:szCs w:val="18"/>
                <w:lang w:eastAsia="pl-PL"/>
              </w:rPr>
            </w:pPr>
          </w:p>
        </w:tc>
        <w:tc>
          <w:tcPr>
            <w:tcW w:w="1134" w:type="dxa"/>
            <w:tcBorders>
              <w:top w:val="nil"/>
              <w:left w:val="nil"/>
              <w:bottom w:val="nil"/>
              <w:right w:val="nil"/>
            </w:tcBorders>
            <w:shd w:val="clear" w:color="auto" w:fill="auto"/>
            <w:noWrap/>
            <w:vAlign w:val="bottom"/>
            <w:hideMark/>
          </w:tcPr>
          <w:p w:rsidR="00E13A39" w:rsidRPr="00E13A39" w:rsidRDefault="00E13A39" w:rsidP="00D73497">
            <w:pPr>
              <w:spacing w:after="120"/>
              <w:jc w:val="right"/>
              <w:rPr>
                <w:rFonts w:ascii="Times New Roman" w:eastAsia="Times New Roman" w:hAnsi="Times New Roman" w:cs="Times New Roman"/>
                <w:sz w:val="12"/>
                <w:szCs w:val="18"/>
                <w:lang w:eastAsia="pl-PL"/>
              </w:rPr>
            </w:pPr>
          </w:p>
        </w:tc>
      </w:tr>
    </w:tbl>
    <w:p w:rsidR="002A1CFB" w:rsidRDefault="00962897" w:rsidP="00D73497">
      <w:pPr>
        <w:spacing w:after="120"/>
        <w:jc w:val="both"/>
      </w:pPr>
      <w:r>
        <w:t xml:space="preserve">Jako jedną z głównych przyczyn </w:t>
      </w:r>
      <w:r w:rsidR="00CA6306">
        <w:t xml:space="preserve">takiej sytuacji </w:t>
      </w:r>
      <w:r>
        <w:t>beneficjenci wskazują</w:t>
      </w:r>
      <w:r w:rsidR="00CA6306">
        <w:t xml:space="preserve"> na</w:t>
      </w:r>
      <w:r>
        <w:t xml:space="preserve"> </w:t>
      </w:r>
      <w:r w:rsidR="006A64D6">
        <w:t>trudne do spełnienia warunki dostępu oraz ograniczenie katalogu podmiotów uprawnionych do</w:t>
      </w:r>
      <w:r w:rsidR="008C7BCD">
        <w:t> </w:t>
      </w:r>
      <w:r w:rsidR="006A64D6">
        <w:t>aplikowania –</w:t>
      </w:r>
      <w:r w:rsidR="00A2107E">
        <w:t xml:space="preserve"> </w:t>
      </w:r>
      <w:r w:rsidR="006A64D6">
        <w:t xml:space="preserve">z możliwości ubiegania się o dofinansowanie na działania </w:t>
      </w:r>
      <w:r w:rsidR="00F70CE2">
        <w:t>z zakresu efektywności energetycznej</w:t>
      </w:r>
      <w:r w:rsidR="006A64D6">
        <w:t xml:space="preserve"> wyłączono jednostki samorządu terytorialnego</w:t>
      </w:r>
      <w:r w:rsidR="00CA6306">
        <w:t xml:space="preserve"> (poddziałanie 1.7.1).</w:t>
      </w:r>
    </w:p>
    <w:p w:rsidR="00B27266" w:rsidRDefault="006A64D6" w:rsidP="00D73497">
      <w:pPr>
        <w:spacing w:after="120"/>
        <w:jc w:val="both"/>
      </w:pPr>
      <w:r>
        <w:t>Kolejnym czynnikiem zniechęcającym beneficjentów do korzystania ze środków tego programu jest zastosowanie</w:t>
      </w:r>
      <w:r w:rsidR="00CA6306">
        <w:t xml:space="preserve"> </w:t>
      </w:r>
      <w:r w:rsidR="00F209BB">
        <w:t>(</w:t>
      </w:r>
      <w:r w:rsidR="00CA6306">
        <w:t>również w poddziałaniu 1.7.1</w:t>
      </w:r>
      <w:r w:rsidR="00F209BB">
        <w:t>)</w:t>
      </w:r>
      <w:r>
        <w:t xml:space="preserve"> instrumentów finansowych czyli p</w:t>
      </w:r>
      <w:r w:rsidR="00B27266">
        <w:t>omoc</w:t>
      </w:r>
      <w:r>
        <w:t>y zwrotnej</w:t>
      </w:r>
      <w:r w:rsidR="00CA6306">
        <w:t>,</w:t>
      </w:r>
      <w:r w:rsidR="00B27266">
        <w:t xml:space="preserve"> z możliwością uzyskania </w:t>
      </w:r>
      <w:r w:rsidR="00CA6306">
        <w:t>premii inwestycyjnej</w:t>
      </w:r>
      <w:r w:rsidR="0065575F">
        <w:t xml:space="preserve">, której </w:t>
      </w:r>
      <w:r w:rsidR="00B27266">
        <w:t xml:space="preserve">wysokość </w:t>
      </w:r>
      <w:r w:rsidR="00CA6306">
        <w:t>uzależniona jest od osiągniętych w projekcie efektów energetycznych.</w:t>
      </w:r>
    </w:p>
    <w:p w:rsidR="006A440F" w:rsidRDefault="006A440F" w:rsidP="00D73497">
      <w:pPr>
        <w:spacing w:after="120"/>
        <w:jc w:val="both"/>
      </w:pPr>
      <w:r>
        <w:t>Przyjęcie takich mechanizmów oparte było na wynikach zleconych analiz ex-</w:t>
      </w:r>
      <w:proofErr w:type="spellStart"/>
      <w:r>
        <w:t>ante</w:t>
      </w:r>
      <w:proofErr w:type="spellEnd"/>
      <w:r>
        <w:t xml:space="preserve"> dla programu POIŚ 2014-2020, jednakże w ich założeniach zrównano całość sektora mieszkaniowego, tj. zarówno zasób spółdzielni mieszkaniowych, wspólnot, TBS jak i</w:t>
      </w:r>
      <w:r w:rsidR="00FE77C3">
        <w:t> </w:t>
      </w:r>
      <w:r>
        <w:t>zasobu komunalnego. Tymczasem należy podkreślić fakt, że komunalna gospodarka mieszkaniowa</w:t>
      </w:r>
      <w:r w:rsidR="00F209BB">
        <w:t xml:space="preserve"> w</w:t>
      </w:r>
      <w:r>
        <w:t xml:space="preserve"> przeważającej części prowadzona jest na zasadach </w:t>
      </w:r>
      <w:r w:rsidR="00F209BB">
        <w:t>nie</w:t>
      </w:r>
      <w:r>
        <w:t>rynkowych, a</w:t>
      </w:r>
      <w:r w:rsidR="00FE77C3">
        <w:t> </w:t>
      </w:r>
      <w:r>
        <w:t>czynsz pobierany od mieszkańców nie pokrywa kosztów niezbędnych nakładów inwestycyjnych. Z tego względu</w:t>
      </w:r>
      <w:r w:rsidR="00F209BB">
        <w:t>,</w:t>
      </w:r>
      <w:r>
        <w:t xml:space="preserve"> w tym szczególnym przypadku</w:t>
      </w:r>
      <w:r w:rsidR="00F209BB">
        <w:t>,</w:t>
      </w:r>
      <w:r>
        <w:t xml:space="preserve"> nie ma uzasadnienia dla zastosowania zwrotnych instrumentów finansowych. </w:t>
      </w:r>
    </w:p>
    <w:p w:rsidR="00743D5A" w:rsidRDefault="00743D5A" w:rsidP="00D73497">
      <w:pPr>
        <w:spacing w:after="120"/>
        <w:jc w:val="both"/>
      </w:pPr>
    </w:p>
    <w:p w:rsidR="006A64D6" w:rsidRPr="00CA5163" w:rsidRDefault="00CA5163" w:rsidP="00D73497">
      <w:pPr>
        <w:pStyle w:val="Akapitzlist"/>
        <w:numPr>
          <w:ilvl w:val="0"/>
          <w:numId w:val="17"/>
        </w:numPr>
        <w:spacing w:after="120"/>
        <w:jc w:val="both"/>
        <w:rPr>
          <w:b/>
        </w:rPr>
      </w:pPr>
      <w:r w:rsidRPr="00CA5163">
        <w:rPr>
          <w:b/>
        </w:rPr>
        <w:t>Stanowisko Związku w kwestii dalszych kierunków działania</w:t>
      </w:r>
    </w:p>
    <w:p w:rsidR="006A64D6" w:rsidRDefault="006A64D6" w:rsidP="00D73497">
      <w:pPr>
        <w:spacing w:after="120"/>
        <w:jc w:val="both"/>
      </w:pPr>
      <w:r>
        <w:t xml:space="preserve">Na podstawie powyższych informacji </w:t>
      </w:r>
      <w:r w:rsidR="00927815">
        <w:t>Zarząd Związku Gmin i Powiatów Subregionu Centralnego Województwa Śląskiego</w:t>
      </w:r>
      <w:r>
        <w:t xml:space="preserve"> rekomenduje Instytucjom Zarządzającym Programem Operacyjnym Infrastruktura i Środowisko oraz Regionalnym Programem Operacyjnym Województwa Śląskiego następujące rozwiązanie:</w:t>
      </w:r>
    </w:p>
    <w:p w:rsidR="00A70ED3" w:rsidRDefault="006A64D6" w:rsidP="00D73497">
      <w:pPr>
        <w:pStyle w:val="Akapitzlist"/>
        <w:numPr>
          <w:ilvl w:val="0"/>
          <w:numId w:val="21"/>
        </w:numPr>
        <w:spacing w:after="120"/>
        <w:ind w:left="426"/>
        <w:jc w:val="both"/>
      </w:pPr>
      <w:r w:rsidRPr="005F5FB5">
        <w:rPr>
          <w:b/>
        </w:rPr>
        <w:t xml:space="preserve">Wariant optymalny </w:t>
      </w:r>
      <w:r w:rsidR="00F209BB" w:rsidRPr="005F5FB5">
        <w:rPr>
          <w:b/>
        </w:rPr>
        <w:t>– rekomendowany:</w:t>
      </w:r>
      <w:r>
        <w:t xml:space="preserve"> </w:t>
      </w:r>
    </w:p>
    <w:p w:rsidR="00A44956" w:rsidRDefault="006A64D6" w:rsidP="00D73497">
      <w:pPr>
        <w:pStyle w:val="Akapitzlist"/>
        <w:numPr>
          <w:ilvl w:val="0"/>
          <w:numId w:val="24"/>
        </w:numPr>
        <w:spacing w:after="120"/>
        <w:jc w:val="both"/>
      </w:pPr>
      <w:r>
        <w:t>przeniesieni</w:t>
      </w:r>
      <w:r w:rsidR="002F36B4">
        <w:t>e</w:t>
      </w:r>
      <w:r>
        <w:t xml:space="preserve"> niewykorzystanej alokacji poddziałania 1.7 POIŚ 2014-2020 do alokacji Z</w:t>
      </w:r>
      <w:r w:rsidR="002F36B4">
        <w:t xml:space="preserve">integrowanych </w:t>
      </w:r>
      <w:r>
        <w:t>I</w:t>
      </w:r>
      <w:r w:rsidR="002F36B4">
        <w:t xml:space="preserve">nwestycji </w:t>
      </w:r>
      <w:r>
        <w:t>T</w:t>
      </w:r>
      <w:r w:rsidR="002F36B4">
        <w:t xml:space="preserve">erytorialnych </w:t>
      </w:r>
      <w:r>
        <w:t>Subregionu Centralnego Województwa Śląskiego</w:t>
      </w:r>
      <w:r w:rsidR="002F36B4">
        <w:t>, realizowanych</w:t>
      </w:r>
      <w:r>
        <w:t xml:space="preserve"> w ramach RPO WSL 2014-2020</w:t>
      </w:r>
      <w:r w:rsidR="004D6F1C">
        <w:t>,</w:t>
      </w:r>
      <w:r>
        <w:t xml:space="preserve"> z</w:t>
      </w:r>
      <w:r w:rsidR="00D7630D">
        <w:t> </w:t>
      </w:r>
      <w:r>
        <w:t xml:space="preserve">docelowym zastosowaniem </w:t>
      </w:r>
      <w:r w:rsidR="002F36B4" w:rsidRPr="00A70ED3">
        <w:rPr>
          <w:u w:val="single"/>
        </w:rPr>
        <w:t xml:space="preserve">bezzwrotnej </w:t>
      </w:r>
      <w:r w:rsidRPr="00A70ED3">
        <w:rPr>
          <w:u w:val="single"/>
        </w:rPr>
        <w:t>dotacji</w:t>
      </w:r>
      <w:r>
        <w:t xml:space="preserve"> jako podstawowego narzędzia finansowego dla inwestycji realizowanych w komunalnym budownictwie mieszkaniowym.</w:t>
      </w:r>
      <w:r w:rsidR="005F5FB5" w:rsidRPr="005F5FB5">
        <w:t xml:space="preserve"> Dodatkowo, dofinansowaniem unijnym w</w:t>
      </w:r>
      <w:r w:rsidR="00D7630D">
        <w:t> </w:t>
      </w:r>
      <w:r w:rsidR="005F5FB5" w:rsidRPr="005F5FB5">
        <w:t>formie dotacji powinien być objęty cały mieszkaniowy zasób komunalny, za wyjątkiem lokali, które są objęte przetargami na wysokość stawki czynszu (gdyż jedynie te lokale noszą znamiona wynajmowania przez gminę na zasadach rynkowych). Obecne zasady finansowania (RPO WSL 2014-2020) definiują tę możliwość odwrotnie tj. brak wsparcia dla wielorodzinnych budynków mieszkalnych, za wyjątkiem budynków, w których znajdują się mieszkania socjalne, wspomagane, chronione oraz mieszkania komunalne udostępn</w:t>
      </w:r>
      <w:r w:rsidR="005F5FB5">
        <w:t>iane na szczególnych warunkach.</w:t>
      </w:r>
    </w:p>
    <w:p w:rsidR="00A70ED3" w:rsidRDefault="00D7630D" w:rsidP="00D73497">
      <w:pPr>
        <w:pStyle w:val="Akapitzlist"/>
        <w:numPr>
          <w:ilvl w:val="0"/>
          <w:numId w:val="24"/>
        </w:numPr>
        <w:spacing w:after="120"/>
        <w:jc w:val="both"/>
      </w:pPr>
      <w:r>
        <w:t>d</w:t>
      </w:r>
      <w:r w:rsidR="00A70ED3">
        <w:t xml:space="preserve">ziałania uzupełniające – ze względu na brak możliwości zaspokojenia wszystkich potrzeb inwestycyjnych w zakresie termomodernizacji i wymiany źródeł ciepła w budynkach będących własnością jednostek samorządu terytorialnego, nawet po wykorzystaniu  źródeł unijnych przeznaczonych na ten cel w latach 2014-2020, Zarząd Związku Gmin i Powiatów Subregionu Centralnego postuluje utworzenie poddziałania w programie „Czyste Powietrze”. Przeznaczeniem tego poddziałania byłyby dotacje dla modernizacji energetycznych wielorodzinnych budynków mieszkaniowych, zlokalizowanych na obszarze śląskich miast, w których w szczególnej skali występuje problem zanieczyszczenia powietrza ze źródeł niskiej emisji. </w:t>
      </w:r>
      <w:r w:rsidR="008C7BCD">
        <w:t>Z</w:t>
      </w:r>
      <w:r w:rsidR="00A70ED3">
        <w:t>aplanowane wsparcie dla budownictwa jednorodzinnego musi zostać połączone z równolegle realizowaną modernizacją energetyczną komunalnych zasobów mieszkaniowych, w</w:t>
      </w:r>
      <w:r w:rsidR="008C7BCD">
        <w:t> </w:t>
      </w:r>
      <w:r w:rsidR="00A70ED3">
        <w:t>których w ogromnej skali również występuje problem ubóstwa energetycznego mieszkańców. Proponujemy aby to rozwiązanie było oparte o mechanizm Funduszu Termomodernizacji i</w:t>
      </w:r>
      <w:r w:rsidR="008C7BCD">
        <w:t> </w:t>
      </w:r>
      <w:r w:rsidR="00A70ED3">
        <w:t>Remontów w ramach dostosowanej ustawy z dnia 21 listopada 2008 roku o</w:t>
      </w:r>
      <w:r w:rsidR="008C7BCD">
        <w:t> </w:t>
      </w:r>
      <w:r w:rsidR="00A70ED3">
        <w:t xml:space="preserve">wspieraniu termomodernizacji i remontów.  Należy w ustawie wprowadzić zapisy umożliwiające gminom leżącym na obszarach o największym zanieczyszczeniu powietrza w województwie śląskim otrzymanie do 50 % bezzwrotnej dotacji ze środków na wykonanie  prac termomodernizacyjnych w komunalnych budynkach wielomieszkaniowych. </w:t>
      </w:r>
    </w:p>
    <w:p w:rsidR="00A70ED3" w:rsidRDefault="00A70ED3" w:rsidP="00D73497">
      <w:pPr>
        <w:pStyle w:val="Akapitzlist"/>
        <w:spacing w:after="120"/>
        <w:jc w:val="both"/>
      </w:pPr>
      <w:r>
        <w:t>Proponujemy przy rozpatrywaniu wniosków przez BGK brać pod uwagę  spełnienie wyłącznie następujących wskaźników:</w:t>
      </w:r>
    </w:p>
    <w:p w:rsidR="00A70ED3" w:rsidRDefault="00A70ED3" w:rsidP="00D73497">
      <w:pPr>
        <w:pStyle w:val="Akapitzlist"/>
        <w:numPr>
          <w:ilvl w:val="0"/>
          <w:numId w:val="27"/>
        </w:numPr>
        <w:spacing w:after="120"/>
        <w:jc w:val="both"/>
      </w:pPr>
      <w:r>
        <w:t>zmniejszenie zapotrzebowania na ciepło grzewcze na poziomie 15 % energii finalnej liczonej dla wszystkich budynków objętych wnioskiem,</w:t>
      </w:r>
    </w:p>
    <w:p w:rsidR="00A70ED3" w:rsidRDefault="00A70ED3" w:rsidP="00D73497">
      <w:pPr>
        <w:pStyle w:val="Akapitzlist"/>
        <w:numPr>
          <w:ilvl w:val="0"/>
          <w:numId w:val="27"/>
        </w:numPr>
        <w:spacing w:after="120"/>
        <w:jc w:val="both"/>
      </w:pPr>
      <w:r>
        <w:t>wymianę urządzeń na spełniające standardy niskoemisyjne w nie mniej niż 60% lokali w budynkach mieszkalnych objętych wnioskiem.</w:t>
      </w:r>
    </w:p>
    <w:p w:rsidR="00A70ED3" w:rsidRDefault="00A70ED3" w:rsidP="00D73497">
      <w:pPr>
        <w:pStyle w:val="Akapitzlist"/>
        <w:spacing w:after="120"/>
        <w:jc w:val="both"/>
      </w:pPr>
      <w:r>
        <w:t xml:space="preserve">Inne wymogi wynikają z przepisów ogólnych i nie ma powodu, dla którego miałyby być zaostrzane w przypadku tego typu obiektów. </w:t>
      </w:r>
      <w:r w:rsidR="00D7630D">
        <w:t>W</w:t>
      </w:r>
      <w:r>
        <w:t>ielomieszkaniowe obiekty komunalne są jednymi z trudniejszych pod względem technicznym do prowadzenia termomodernizacji np. z powodu ochrony konserwatorskiej i</w:t>
      </w:r>
      <w:r w:rsidR="00D7630D">
        <w:t> </w:t>
      </w:r>
      <w:r>
        <w:t>narzucenie zbyt ostrych kryteriów mogłoby skutkować tym, że koszty termomodernizacji przerosną koszty budowy nowych budynków. Jednocześnie należy pamiętać o tym, że w części lokali w budynkach komunalnych zostały już zmodernizowane przez najemców instalacje grzewcze np. na gazowe, co będzie obniżać realizację wymienionego wyżej wskaźnika w literze B.</w:t>
      </w:r>
    </w:p>
    <w:p w:rsidR="008D7446" w:rsidRPr="00BD43CA" w:rsidRDefault="008D7446" w:rsidP="00D73497">
      <w:pPr>
        <w:pStyle w:val="Akapitzlist"/>
        <w:numPr>
          <w:ilvl w:val="0"/>
          <w:numId w:val="21"/>
        </w:numPr>
        <w:spacing w:after="120"/>
        <w:ind w:left="284" w:hanging="284"/>
        <w:jc w:val="both"/>
        <w:rPr>
          <w:b/>
        </w:rPr>
      </w:pPr>
      <w:r w:rsidRPr="00BD43CA">
        <w:rPr>
          <w:b/>
        </w:rPr>
        <w:t>Wariant dopuszczalny:</w:t>
      </w:r>
    </w:p>
    <w:p w:rsidR="00A44956" w:rsidRDefault="006A64D6" w:rsidP="00D73497">
      <w:pPr>
        <w:pStyle w:val="Akapitzlist"/>
        <w:numPr>
          <w:ilvl w:val="0"/>
          <w:numId w:val="26"/>
        </w:numPr>
        <w:spacing w:after="120"/>
        <w:jc w:val="both"/>
      </w:pPr>
      <w:r>
        <w:t xml:space="preserve">dalsza realizacja </w:t>
      </w:r>
      <w:r w:rsidRPr="006A64D6">
        <w:t>„Programu kompleksowej likwidacji niskiej emisji na terenie konurbacji śląsko-dąbrowskiej”</w:t>
      </w:r>
      <w:r>
        <w:t xml:space="preserve"> w ramach działania 1.7</w:t>
      </w:r>
      <w:r w:rsidR="00FE77C3">
        <w:t> </w:t>
      </w:r>
      <w:r>
        <w:t>POIŚ 2014-2020 z</w:t>
      </w:r>
      <w:r w:rsidR="008C7BCD">
        <w:t> </w:t>
      </w:r>
      <w:r w:rsidR="00C15AF0">
        <w:t>rozszerzeniem</w:t>
      </w:r>
      <w:r>
        <w:t xml:space="preserve"> katalogu beneficjentów uprawnionych do a</w:t>
      </w:r>
      <w:r w:rsidR="00C15AF0">
        <w:t>plikowania</w:t>
      </w:r>
      <w:r w:rsidR="002F36B4">
        <w:t xml:space="preserve"> w</w:t>
      </w:r>
      <w:r w:rsidR="008C7BCD">
        <w:t> </w:t>
      </w:r>
      <w:r w:rsidR="002F36B4">
        <w:t>poddziałaniu 1.7.1</w:t>
      </w:r>
      <w:r w:rsidR="00C15AF0">
        <w:t xml:space="preserve"> </w:t>
      </w:r>
      <w:r w:rsidR="002F36B4">
        <w:t>o jednostki samorządu terytorialnego</w:t>
      </w:r>
      <w:r w:rsidR="00C7303E">
        <w:t>,</w:t>
      </w:r>
      <w:r>
        <w:t xml:space="preserve"> z</w:t>
      </w:r>
      <w:r w:rsidR="00445491">
        <w:t> </w:t>
      </w:r>
      <w:r>
        <w:t>zastosowaniem</w:t>
      </w:r>
      <w:r w:rsidR="002F36B4">
        <w:t xml:space="preserve"> </w:t>
      </w:r>
      <w:r w:rsidR="002F36B4" w:rsidRPr="00A70ED3">
        <w:rPr>
          <w:u w:val="single"/>
        </w:rPr>
        <w:t>bezzwrotnej</w:t>
      </w:r>
      <w:r w:rsidRPr="00A70ED3">
        <w:rPr>
          <w:u w:val="single"/>
        </w:rPr>
        <w:t xml:space="preserve"> </w:t>
      </w:r>
      <w:r w:rsidR="00C7303E" w:rsidRPr="00A70ED3">
        <w:rPr>
          <w:u w:val="single"/>
        </w:rPr>
        <w:t>dotacji</w:t>
      </w:r>
      <w:r w:rsidR="00C7303E">
        <w:t xml:space="preserve"> jako podstawowego narzędzia finansowego dla inwestycji realizowanych w komunalnym budownictwie mieszkaniowym.</w:t>
      </w:r>
    </w:p>
    <w:p w:rsidR="008D7446" w:rsidRDefault="008D7446" w:rsidP="00D73497">
      <w:pPr>
        <w:pStyle w:val="Akapitzlist"/>
        <w:numPr>
          <w:ilvl w:val="0"/>
          <w:numId w:val="26"/>
        </w:numPr>
        <w:spacing w:after="120"/>
        <w:jc w:val="both"/>
      </w:pPr>
      <w:r>
        <w:t xml:space="preserve">działania uzupełniające – jak </w:t>
      </w:r>
      <w:r w:rsidR="002F7272">
        <w:t>opisany w pkt I. b)</w:t>
      </w:r>
      <w:r>
        <w:t>.</w:t>
      </w:r>
    </w:p>
    <w:p w:rsidR="001A7183" w:rsidRDefault="002A1CFB" w:rsidP="00D73497">
      <w:pPr>
        <w:spacing w:after="120"/>
        <w:jc w:val="both"/>
      </w:pPr>
      <w:r>
        <w:t>Zarząd Związku Gmin i Powiatów Subregionu Centralnego Województwa Śląskiego stoi na stanowisku, że d</w:t>
      </w:r>
      <w:r w:rsidR="00F651D4">
        <w:t xml:space="preserve">la osiągnięcia znaczącej redukcji emisji substancji szkodliwych pochodzących </w:t>
      </w:r>
      <w:r w:rsidR="001A6B77">
        <w:t xml:space="preserve">z </w:t>
      </w:r>
      <w:r w:rsidR="00F651D4">
        <w:t>indy</w:t>
      </w:r>
      <w:r w:rsidR="001A6B77">
        <w:t xml:space="preserve">widualnych gospodarstw domowych, a także dla osiągnięcia dalszych oszczędności w zapotrzebowaniu na energię, </w:t>
      </w:r>
      <w:r w:rsidR="00F651D4">
        <w:t>konieczn</w:t>
      </w:r>
      <w:r w:rsidR="00927815">
        <w:t>e</w:t>
      </w:r>
      <w:r w:rsidR="00F651D4">
        <w:t xml:space="preserve"> jest </w:t>
      </w:r>
      <w:r w:rsidR="001A6B77">
        <w:t>zidentyfikowanie dodatkowych źródeł finansowania inwestycji samorządowych</w:t>
      </w:r>
      <w:r w:rsidR="004D6F1C">
        <w:t>, uzupełniających środki własne</w:t>
      </w:r>
      <w:r w:rsidR="001A6B77">
        <w:t xml:space="preserve">, co pozwoli na efektywną kontynuację </w:t>
      </w:r>
      <w:r w:rsidR="004D6F1C">
        <w:t xml:space="preserve">szerokiego spektrum działań </w:t>
      </w:r>
      <w:r w:rsidR="0024527B">
        <w:t>podejmowanych dotychczas</w:t>
      </w:r>
      <w:r w:rsidR="001A6B77">
        <w:t>.</w:t>
      </w:r>
    </w:p>
    <w:p w:rsidR="0070000C" w:rsidRDefault="001F0E2F" w:rsidP="00D73497">
      <w:pPr>
        <w:spacing w:after="120"/>
        <w:ind w:left="4248" w:firstLine="708"/>
        <w:jc w:val="both"/>
      </w:pPr>
      <w:r>
        <w:t>Z poważaniem</w:t>
      </w:r>
    </w:p>
    <w:p w:rsidR="00C84E90" w:rsidRDefault="00C84E90" w:rsidP="00D73497">
      <w:pPr>
        <w:spacing w:after="120"/>
        <w:ind w:firstLine="284"/>
        <w:jc w:val="both"/>
        <w:rPr>
          <w:b/>
        </w:rPr>
      </w:pPr>
      <w:bookmarkStart w:id="0" w:name="_GoBack"/>
      <w:bookmarkEnd w:id="0"/>
    </w:p>
    <w:sectPr w:rsidR="00C84E90" w:rsidSect="003C1BDA">
      <w:pgSz w:w="11906" w:h="16838"/>
      <w:pgMar w:top="2126" w:right="851" w:bottom="1985" w:left="3402" w:header="57" w:footer="16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6C1" w:rsidRDefault="002236C1" w:rsidP="002D3882">
      <w:pPr>
        <w:spacing w:after="0" w:line="240" w:lineRule="auto"/>
      </w:pPr>
      <w:r>
        <w:separator/>
      </w:r>
    </w:p>
  </w:endnote>
  <w:endnote w:type="continuationSeparator" w:id="0">
    <w:p w:rsidR="002236C1" w:rsidRDefault="002236C1" w:rsidP="002D3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6C1" w:rsidRDefault="002236C1" w:rsidP="002D3882">
      <w:pPr>
        <w:spacing w:after="0" w:line="240" w:lineRule="auto"/>
      </w:pPr>
      <w:r>
        <w:separator/>
      </w:r>
    </w:p>
  </w:footnote>
  <w:footnote w:type="continuationSeparator" w:id="0">
    <w:p w:rsidR="002236C1" w:rsidRDefault="002236C1" w:rsidP="002D38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33D4"/>
    <w:multiLevelType w:val="hybridMultilevel"/>
    <w:tmpl w:val="ACA252DC"/>
    <w:lvl w:ilvl="0" w:tplc="C260952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9F9359C"/>
    <w:multiLevelType w:val="hybridMultilevel"/>
    <w:tmpl w:val="43125B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325E3D"/>
    <w:multiLevelType w:val="hybridMultilevel"/>
    <w:tmpl w:val="2B9ECED8"/>
    <w:lvl w:ilvl="0" w:tplc="DE3EAA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1812F15"/>
    <w:multiLevelType w:val="hybridMultilevel"/>
    <w:tmpl w:val="006ED8CA"/>
    <w:lvl w:ilvl="0" w:tplc="C26095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907652"/>
    <w:multiLevelType w:val="hybridMultilevel"/>
    <w:tmpl w:val="F42A9978"/>
    <w:lvl w:ilvl="0" w:tplc="04150015">
      <w:start w:val="1"/>
      <w:numFmt w:val="upperLetter"/>
      <w:lvlText w:val="%1."/>
      <w:lvlJc w:val="left"/>
      <w:pPr>
        <w:ind w:left="426" w:hanging="360"/>
      </w:pPr>
    </w:lvl>
    <w:lvl w:ilvl="1" w:tplc="04150019">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5" w15:restartNumberingAfterBreak="0">
    <w:nsid w:val="142B6B18"/>
    <w:multiLevelType w:val="hybridMultilevel"/>
    <w:tmpl w:val="87CE4BB8"/>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54C4395"/>
    <w:multiLevelType w:val="hybridMultilevel"/>
    <w:tmpl w:val="FA28979E"/>
    <w:lvl w:ilvl="0" w:tplc="04150001">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77C379E"/>
    <w:multiLevelType w:val="hybridMultilevel"/>
    <w:tmpl w:val="B41C09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68C0935"/>
    <w:multiLevelType w:val="hybridMultilevel"/>
    <w:tmpl w:val="314CB864"/>
    <w:lvl w:ilvl="0" w:tplc="51FA7AF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6C91FC5"/>
    <w:multiLevelType w:val="hybridMultilevel"/>
    <w:tmpl w:val="FE4663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4428A6"/>
    <w:multiLevelType w:val="hybridMultilevel"/>
    <w:tmpl w:val="303020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A60652C"/>
    <w:multiLevelType w:val="hybridMultilevel"/>
    <w:tmpl w:val="19146164"/>
    <w:lvl w:ilvl="0" w:tplc="C26095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2BEC48AF"/>
    <w:multiLevelType w:val="hybridMultilevel"/>
    <w:tmpl w:val="62106F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A709EA"/>
    <w:multiLevelType w:val="hybridMultilevel"/>
    <w:tmpl w:val="44BA09C0"/>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B50578"/>
    <w:multiLevelType w:val="hybridMultilevel"/>
    <w:tmpl w:val="076C26CA"/>
    <w:lvl w:ilvl="0" w:tplc="C2609522">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15" w15:restartNumberingAfterBreak="0">
    <w:nsid w:val="3183269D"/>
    <w:multiLevelType w:val="hybridMultilevel"/>
    <w:tmpl w:val="FE56EEB8"/>
    <w:lvl w:ilvl="0" w:tplc="04150013">
      <w:start w:val="1"/>
      <w:numFmt w:val="upperRoman"/>
      <w:lvlText w:val="%1."/>
      <w:lvlJc w:val="right"/>
      <w:pPr>
        <w:ind w:left="1068" w:hanging="360"/>
      </w:pPr>
      <w:rPr>
        <w:rFonts w:hint="default"/>
      </w:rPr>
    </w:lvl>
    <w:lvl w:ilvl="1" w:tplc="B99AB98A">
      <w:start w:val="1"/>
      <w:numFmt w:val="upp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34B24D67"/>
    <w:multiLevelType w:val="hybridMultilevel"/>
    <w:tmpl w:val="033A35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A0177E"/>
    <w:multiLevelType w:val="hybridMultilevel"/>
    <w:tmpl w:val="C2C0E710"/>
    <w:lvl w:ilvl="0" w:tplc="C260952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41EB243F"/>
    <w:multiLevelType w:val="hybridMultilevel"/>
    <w:tmpl w:val="99FE1ABC"/>
    <w:lvl w:ilvl="0" w:tplc="C26095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594205CB"/>
    <w:multiLevelType w:val="hybridMultilevel"/>
    <w:tmpl w:val="68EA54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0131F0"/>
    <w:multiLevelType w:val="hybridMultilevel"/>
    <w:tmpl w:val="0AA26196"/>
    <w:lvl w:ilvl="0" w:tplc="04150015">
      <w:start w:val="1"/>
      <w:numFmt w:val="upp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5D3506FB"/>
    <w:multiLevelType w:val="hybridMultilevel"/>
    <w:tmpl w:val="06400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24E24C2"/>
    <w:multiLevelType w:val="hybridMultilevel"/>
    <w:tmpl w:val="B8EE31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FA7417"/>
    <w:multiLevelType w:val="hybridMultilevel"/>
    <w:tmpl w:val="B9EAC61A"/>
    <w:lvl w:ilvl="0" w:tplc="07940A3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77FA0BB5"/>
    <w:multiLevelType w:val="hybridMultilevel"/>
    <w:tmpl w:val="B454B0D2"/>
    <w:lvl w:ilvl="0" w:tplc="C26095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796200DF"/>
    <w:multiLevelType w:val="hybridMultilevel"/>
    <w:tmpl w:val="68EA54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652976"/>
    <w:multiLevelType w:val="hybridMultilevel"/>
    <w:tmpl w:val="D0ACE7D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9"/>
  </w:num>
  <w:num w:numId="4">
    <w:abstractNumId w:val="25"/>
  </w:num>
  <w:num w:numId="5">
    <w:abstractNumId w:val="2"/>
  </w:num>
  <w:num w:numId="6">
    <w:abstractNumId w:val="1"/>
  </w:num>
  <w:num w:numId="7">
    <w:abstractNumId w:val="19"/>
  </w:num>
  <w:num w:numId="8">
    <w:abstractNumId w:val="22"/>
  </w:num>
  <w:num w:numId="9">
    <w:abstractNumId w:val="10"/>
  </w:num>
  <w:num w:numId="10">
    <w:abstractNumId w:val="13"/>
  </w:num>
  <w:num w:numId="11">
    <w:abstractNumId w:val="6"/>
  </w:num>
  <w:num w:numId="12">
    <w:abstractNumId w:val="26"/>
  </w:num>
  <w:num w:numId="13">
    <w:abstractNumId w:val="14"/>
  </w:num>
  <w:num w:numId="14">
    <w:abstractNumId w:val="21"/>
  </w:num>
  <w:num w:numId="15">
    <w:abstractNumId w:val="3"/>
  </w:num>
  <w:num w:numId="16">
    <w:abstractNumId w:val="0"/>
  </w:num>
  <w:num w:numId="17">
    <w:abstractNumId w:val="7"/>
  </w:num>
  <w:num w:numId="18">
    <w:abstractNumId w:val="24"/>
  </w:num>
  <w:num w:numId="19">
    <w:abstractNumId w:val="18"/>
  </w:num>
  <w:num w:numId="20">
    <w:abstractNumId w:val="11"/>
  </w:num>
  <w:num w:numId="21">
    <w:abstractNumId w:val="15"/>
  </w:num>
  <w:num w:numId="22">
    <w:abstractNumId w:val="8"/>
  </w:num>
  <w:num w:numId="23">
    <w:abstractNumId w:val="4"/>
  </w:num>
  <w:num w:numId="24">
    <w:abstractNumId w:val="16"/>
  </w:num>
  <w:num w:numId="25">
    <w:abstractNumId w:val="17"/>
  </w:num>
  <w:num w:numId="26">
    <w:abstractNumId w:val="2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882"/>
    <w:rsid w:val="0003183C"/>
    <w:rsid w:val="0003654A"/>
    <w:rsid w:val="000411EC"/>
    <w:rsid w:val="00041B42"/>
    <w:rsid w:val="00066645"/>
    <w:rsid w:val="000A110C"/>
    <w:rsid w:val="000A33B9"/>
    <w:rsid w:val="000A3659"/>
    <w:rsid w:val="000A647B"/>
    <w:rsid w:val="00100847"/>
    <w:rsid w:val="00103B8B"/>
    <w:rsid w:val="00105A45"/>
    <w:rsid w:val="00133C28"/>
    <w:rsid w:val="00142C83"/>
    <w:rsid w:val="00145CFD"/>
    <w:rsid w:val="00163E91"/>
    <w:rsid w:val="00165085"/>
    <w:rsid w:val="00167066"/>
    <w:rsid w:val="001839D2"/>
    <w:rsid w:val="00184215"/>
    <w:rsid w:val="001A1E08"/>
    <w:rsid w:val="001A6B77"/>
    <w:rsid w:val="001A7183"/>
    <w:rsid w:val="001B04B1"/>
    <w:rsid w:val="001F0E2F"/>
    <w:rsid w:val="002236C1"/>
    <w:rsid w:val="0024527B"/>
    <w:rsid w:val="002530D9"/>
    <w:rsid w:val="002A1CFB"/>
    <w:rsid w:val="002B1777"/>
    <w:rsid w:val="002D0D02"/>
    <w:rsid w:val="002D3882"/>
    <w:rsid w:val="002F36B4"/>
    <w:rsid w:val="002F54AE"/>
    <w:rsid w:val="002F7272"/>
    <w:rsid w:val="003125FC"/>
    <w:rsid w:val="00317030"/>
    <w:rsid w:val="00351496"/>
    <w:rsid w:val="00360639"/>
    <w:rsid w:val="0037794E"/>
    <w:rsid w:val="003B2AED"/>
    <w:rsid w:val="003C0EB2"/>
    <w:rsid w:val="003C1BDA"/>
    <w:rsid w:val="003F21E5"/>
    <w:rsid w:val="00427092"/>
    <w:rsid w:val="004322B1"/>
    <w:rsid w:val="00443ED8"/>
    <w:rsid w:val="00445491"/>
    <w:rsid w:val="004504BE"/>
    <w:rsid w:val="004565AC"/>
    <w:rsid w:val="004665AA"/>
    <w:rsid w:val="004A0279"/>
    <w:rsid w:val="004B1AB0"/>
    <w:rsid w:val="004D0F07"/>
    <w:rsid w:val="004D6F1C"/>
    <w:rsid w:val="00504C6A"/>
    <w:rsid w:val="00513CE2"/>
    <w:rsid w:val="0051665D"/>
    <w:rsid w:val="00542B81"/>
    <w:rsid w:val="0054738A"/>
    <w:rsid w:val="00552FDD"/>
    <w:rsid w:val="00555CEA"/>
    <w:rsid w:val="005A1B3F"/>
    <w:rsid w:val="005A4772"/>
    <w:rsid w:val="005A58FD"/>
    <w:rsid w:val="005D0900"/>
    <w:rsid w:val="005D24B6"/>
    <w:rsid w:val="005E3718"/>
    <w:rsid w:val="005F5FB5"/>
    <w:rsid w:val="0062480C"/>
    <w:rsid w:val="00627CC9"/>
    <w:rsid w:val="00643DF0"/>
    <w:rsid w:val="006551DB"/>
    <w:rsid w:val="0065575F"/>
    <w:rsid w:val="00657C5E"/>
    <w:rsid w:val="00662AA3"/>
    <w:rsid w:val="00671538"/>
    <w:rsid w:val="006A440F"/>
    <w:rsid w:val="006A458E"/>
    <w:rsid w:val="006A64D6"/>
    <w:rsid w:val="006C3132"/>
    <w:rsid w:val="006C5A63"/>
    <w:rsid w:val="006E17F9"/>
    <w:rsid w:val="0070000C"/>
    <w:rsid w:val="00714229"/>
    <w:rsid w:val="007174C9"/>
    <w:rsid w:val="00731551"/>
    <w:rsid w:val="00743B58"/>
    <w:rsid w:val="00743D5A"/>
    <w:rsid w:val="00744ECF"/>
    <w:rsid w:val="00747171"/>
    <w:rsid w:val="00755F5F"/>
    <w:rsid w:val="0076735C"/>
    <w:rsid w:val="007950D5"/>
    <w:rsid w:val="007B4708"/>
    <w:rsid w:val="007F4482"/>
    <w:rsid w:val="007F7D8A"/>
    <w:rsid w:val="0081733A"/>
    <w:rsid w:val="0082318A"/>
    <w:rsid w:val="0087647F"/>
    <w:rsid w:val="0087677F"/>
    <w:rsid w:val="00894ACE"/>
    <w:rsid w:val="00895B32"/>
    <w:rsid w:val="008A5796"/>
    <w:rsid w:val="008A6FD0"/>
    <w:rsid w:val="008B34A1"/>
    <w:rsid w:val="008C0AC9"/>
    <w:rsid w:val="008C7BCD"/>
    <w:rsid w:val="008D7446"/>
    <w:rsid w:val="008E6367"/>
    <w:rsid w:val="0090787A"/>
    <w:rsid w:val="00927815"/>
    <w:rsid w:val="009376DC"/>
    <w:rsid w:val="00956632"/>
    <w:rsid w:val="00962897"/>
    <w:rsid w:val="00971E69"/>
    <w:rsid w:val="009C4002"/>
    <w:rsid w:val="009C7FC5"/>
    <w:rsid w:val="00A02921"/>
    <w:rsid w:val="00A03F30"/>
    <w:rsid w:val="00A2107E"/>
    <w:rsid w:val="00A25E2C"/>
    <w:rsid w:val="00A35714"/>
    <w:rsid w:val="00A44956"/>
    <w:rsid w:val="00A4752D"/>
    <w:rsid w:val="00A60192"/>
    <w:rsid w:val="00A70ED3"/>
    <w:rsid w:val="00A751B9"/>
    <w:rsid w:val="00A853B0"/>
    <w:rsid w:val="00A9022E"/>
    <w:rsid w:val="00AC32CB"/>
    <w:rsid w:val="00AC6541"/>
    <w:rsid w:val="00AE137B"/>
    <w:rsid w:val="00B12951"/>
    <w:rsid w:val="00B17F63"/>
    <w:rsid w:val="00B26E1E"/>
    <w:rsid w:val="00B27266"/>
    <w:rsid w:val="00B27A44"/>
    <w:rsid w:val="00B31369"/>
    <w:rsid w:val="00B76657"/>
    <w:rsid w:val="00B86811"/>
    <w:rsid w:val="00B915B9"/>
    <w:rsid w:val="00BA3CF5"/>
    <w:rsid w:val="00BB6616"/>
    <w:rsid w:val="00BD3D6B"/>
    <w:rsid w:val="00BD43CA"/>
    <w:rsid w:val="00BF19D9"/>
    <w:rsid w:val="00C058A4"/>
    <w:rsid w:val="00C06038"/>
    <w:rsid w:val="00C15AF0"/>
    <w:rsid w:val="00C16C40"/>
    <w:rsid w:val="00C25C82"/>
    <w:rsid w:val="00C3036B"/>
    <w:rsid w:val="00C33882"/>
    <w:rsid w:val="00C34B86"/>
    <w:rsid w:val="00C3728A"/>
    <w:rsid w:val="00C40A8A"/>
    <w:rsid w:val="00C51031"/>
    <w:rsid w:val="00C7303E"/>
    <w:rsid w:val="00C82E95"/>
    <w:rsid w:val="00C84E90"/>
    <w:rsid w:val="00C925D4"/>
    <w:rsid w:val="00CA09F1"/>
    <w:rsid w:val="00CA46E3"/>
    <w:rsid w:val="00CA5163"/>
    <w:rsid w:val="00CA6306"/>
    <w:rsid w:val="00CD576A"/>
    <w:rsid w:val="00CF1AC6"/>
    <w:rsid w:val="00CF1B6D"/>
    <w:rsid w:val="00CF2874"/>
    <w:rsid w:val="00CF7795"/>
    <w:rsid w:val="00D046F3"/>
    <w:rsid w:val="00D33F3D"/>
    <w:rsid w:val="00D50F03"/>
    <w:rsid w:val="00D62AED"/>
    <w:rsid w:val="00D71FCF"/>
    <w:rsid w:val="00D73497"/>
    <w:rsid w:val="00D7630D"/>
    <w:rsid w:val="00D84FA9"/>
    <w:rsid w:val="00D85169"/>
    <w:rsid w:val="00DE5456"/>
    <w:rsid w:val="00E13A39"/>
    <w:rsid w:val="00E208DA"/>
    <w:rsid w:val="00E564B4"/>
    <w:rsid w:val="00E77BB5"/>
    <w:rsid w:val="00EA3435"/>
    <w:rsid w:val="00EA7E13"/>
    <w:rsid w:val="00EE6E30"/>
    <w:rsid w:val="00EE7B8C"/>
    <w:rsid w:val="00EF3C04"/>
    <w:rsid w:val="00F02F53"/>
    <w:rsid w:val="00F10203"/>
    <w:rsid w:val="00F12485"/>
    <w:rsid w:val="00F209BB"/>
    <w:rsid w:val="00F259DF"/>
    <w:rsid w:val="00F36218"/>
    <w:rsid w:val="00F651D4"/>
    <w:rsid w:val="00F70CE2"/>
    <w:rsid w:val="00F75A49"/>
    <w:rsid w:val="00F913ED"/>
    <w:rsid w:val="00F9379A"/>
    <w:rsid w:val="00FA6A08"/>
    <w:rsid w:val="00FB1F8B"/>
    <w:rsid w:val="00FC2E95"/>
    <w:rsid w:val="00FC7E2D"/>
    <w:rsid w:val="00FD6407"/>
    <w:rsid w:val="00FE39A7"/>
    <w:rsid w:val="00FE77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450468A"/>
  <w15:docId w15:val="{7CBF7E9B-E897-46C4-BD69-398AA1B1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036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D38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82"/>
  </w:style>
  <w:style w:type="paragraph" w:styleId="Stopka">
    <w:name w:val="footer"/>
    <w:basedOn w:val="Normalny"/>
    <w:link w:val="StopkaZnak"/>
    <w:uiPriority w:val="99"/>
    <w:unhideWhenUsed/>
    <w:rsid w:val="002D38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82"/>
  </w:style>
  <w:style w:type="paragraph" w:styleId="Tekstdymka">
    <w:name w:val="Balloon Text"/>
    <w:basedOn w:val="Normalny"/>
    <w:link w:val="TekstdymkaZnak"/>
    <w:uiPriority w:val="99"/>
    <w:semiHidden/>
    <w:unhideWhenUsed/>
    <w:rsid w:val="002D388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3882"/>
    <w:rPr>
      <w:rFonts w:ascii="Tahoma" w:hAnsi="Tahoma" w:cs="Tahoma"/>
      <w:sz w:val="16"/>
      <w:szCs w:val="16"/>
    </w:rPr>
  </w:style>
  <w:style w:type="character" w:styleId="Pogrubienie">
    <w:name w:val="Strong"/>
    <w:qFormat/>
    <w:rsid w:val="00895B32"/>
    <w:rPr>
      <w:b/>
      <w:bCs/>
    </w:rPr>
  </w:style>
  <w:style w:type="paragraph" w:styleId="HTML-wstpniesformatowany">
    <w:name w:val="HTML Preformatted"/>
    <w:basedOn w:val="Normalny"/>
    <w:link w:val="HTML-wstpniesformatowanyZnak"/>
    <w:uiPriority w:val="99"/>
    <w:unhideWhenUsed/>
    <w:rsid w:val="00895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895B32"/>
    <w:rPr>
      <w:rFonts w:ascii="Courier New" w:eastAsia="Times New Roman" w:hAnsi="Courier New" w:cs="Courier New"/>
      <w:sz w:val="20"/>
      <w:szCs w:val="20"/>
      <w:lang w:eastAsia="pl-PL"/>
    </w:rPr>
  </w:style>
  <w:style w:type="character" w:styleId="Hipercze">
    <w:name w:val="Hyperlink"/>
    <w:rsid w:val="00163E91"/>
    <w:rPr>
      <w:color w:val="0000FF"/>
      <w:u w:val="single"/>
    </w:rPr>
  </w:style>
  <w:style w:type="paragraph" w:styleId="Akapitzlist">
    <w:name w:val="List Paragraph"/>
    <w:basedOn w:val="Normalny"/>
    <w:uiPriority w:val="34"/>
    <w:qFormat/>
    <w:rsid w:val="00163E91"/>
    <w:pPr>
      <w:ind w:left="720"/>
      <w:contextualSpacing/>
    </w:pPr>
  </w:style>
  <w:style w:type="character" w:customStyle="1" w:styleId="st">
    <w:name w:val="st"/>
    <w:basedOn w:val="Domylnaczcionkaakapitu"/>
    <w:rsid w:val="00100847"/>
  </w:style>
  <w:style w:type="paragraph" w:styleId="Zwykytekst">
    <w:name w:val="Plain Text"/>
    <w:basedOn w:val="Normalny"/>
    <w:link w:val="ZwykytekstZnak"/>
    <w:uiPriority w:val="99"/>
    <w:semiHidden/>
    <w:unhideWhenUsed/>
    <w:rsid w:val="00066645"/>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066645"/>
    <w:rPr>
      <w:rFonts w:ascii="Calibri" w:hAnsi="Calibri"/>
      <w:szCs w:val="21"/>
    </w:rPr>
  </w:style>
  <w:style w:type="paragraph" w:styleId="Tekstprzypisukocowego">
    <w:name w:val="endnote text"/>
    <w:basedOn w:val="Normalny"/>
    <w:link w:val="TekstprzypisukocowegoZnak"/>
    <w:uiPriority w:val="99"/>
    <w:semiHidden/>
    <w:unhideWhenUsed/>
    <w:rsid w:val="00A751B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751B9"/>
    <w:rPr>
      <w:sz w:val="20"/>
      <w:szCs w:val="20"/>
    </w:rPr>
  </w:style>
  <w:style w:type="character" w:styleId="Odwoanieprzypisukocowego">
    <w:name w:val="endnote reference"/>
    <w:basedOn w:val="Domylnaczcionkaakapitu"/>
    <w:uiPriority w:val="99"/>
    <w:semiHidden/>
    <w:unhideWhenUsed/>
    <w:rsid w:val="00A751B9"/>
    <w:rPr>
      <w:vertAlign w:val="superscript"/>
    </w:rPr>
  </w:style>
  <w:style w:type="table" w:styleId="Tabela-Siatka">
    <w:name w:val="Table Grid"/>
    <w:basedOn w:val="Standardowy"/>
    <w:uiPriority w:val="59"/>
    <w:rsid w:val="00B17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7174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5839">
      <w:bodyDiv w:val="1"/>
      <w:marLeft w:val="0"/>
      <w:marRight w:val="0"/>
      <w:marTop w:val="0"/>
      <w:marBottom w:val="0"/>
      <w:divBdr>
        <w:top w:val="none" w:sz="0" w:space="0" w:color="auto"/>
        <w:left w:val="none" w:sz="0" w:space="0" w:color="auto"/>
        <w:bottom w:val="none" w:sz="0" w:space="0" w:color="auto"/>
        <w:right w:val="none" w:sz="0" w:space="0" w:color="auto"/>
      </w:divBdr>
    </w:div>
    <w:div w:id="421149573">
      <w:bodyDiv w:val="1"/>
      <w:marLeft w:val="0"/>
      <w:marRight w:val="0"/>
      <w:marTop w:val="0"/>
      <w:marBottom w:val="0"/>
      <w:divBdr>
        <w:top w:val="none" w:sz="0" w:space="0" w:color="auto"/>
        <w:left w:val="none" w:sz="0" w:space="0" w:color="auto"/>
        <w:bottom w:val="none" w:sz="0" w:space="0" w:color="auto"/>
        <w:right w:val="none" w:sz="0" w:space="0" w:color="auto"/>
      </w:divBdr>
    </w:div>
    <w:div w:id="555509560">
      <w:bodyDiv w:val="1"/>
      <w:marLeft w:val="0"/>
      <w:marRight w:val="0"/>
      <w:marTop w:val="0"/>
      <w:marBottom w:val="0"/>
      <w:divBdr>
        <w:top w:val="none" w:sz="0" w:space="0" w:color="auto"/>
        <w:left w:val="none" w:sz="0" w:space="0" w:color="auto"/>
        <w:bottom w:val="none" w:sz="0" w:space="0" w:color="auto"/>
        <w:right w:val="none" w:sz="0" w:space="0" w:color="auto"/>
      </w:divBdr>
    </w:div>
    <w:div w:id="965038404">
      <w:bodyDiv w:val="1"/>
      <w:marLeft w:val="0"/>
      <w:marRight w:val="0"/>
      <w:marTop w:val="0"/>
      <w:marBottom w:val="0"/>
      <w:divBdr>
        <w:top w:val="none" w:sz="0" w:space="0" w:color="auto"/>
        <w:left w:val="none" w:sz="0" w:space="0" w:color="auto"/>
        <w:bottom w:val="none" w:sz="0" w:space="0" w:color="auto"/>
        <w:right w:val="none" w:sz="0" w:space="0" w:color="auto"/>
      </w:divBdr>
    </w:div>
    <w:div w:id="1258174604">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sChild>
        <w:div w:id="1136794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667E9-0AB4-401A-814D-29D57CEDA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5</Pages>
  <Words>1602</Words>
  <Characters>9614</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grafik2</dc:creator>
  <cp:lastModifiedBy>Marta Dołęga</cp:lastModifiedBy>
  <cp:revision>41</cp:revision>
  <cp:lastPrinted>2018-07-17T07:00:00Z</cp:lastPrinted>
  <dcterms:created xsi:type="dcterms:W3CDTF">2018-07-12T05:53:00Z</dcterms:created>
  <dcterms:modified xsi:type="dcterms:W3CDTF">2018-07-20T05:55:00Z</dcterms:modified>
</cp:coreProperties>
</file>